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54A6"/>
          <w:sz w:val="40"/>
        </w:rPr>
        <w:t>ARETE Programme — Facilitator Solution Key</w:t>
      </w:r>
    </w:p>
    <w:p>
      <w:r>
        <w:rPr>
          <w:b/>
          <w:color w:val="0054A6"/>
          <w:sz w:val="30"/>
        </w:rPr>
        <w:t>ARETE Scenario 1 — The Encrypted Gateway</w:t>
      </w:r>
    </w:p>
    <w:p>
      <w:r>
        <w:rPr>
          <w:i/>
          <w:color w:val="6B6B6B"/>
          <w:sz w:val="20"/>
        </w:rPr>
        <w:t>Facilitator Solution Key — stolen consultant laptop, remote wipe pending</w:t>
      </w:r>
    </w:p>
    <w:p/>
    <w:tbl>
      <w:tblPr>
        <w:tblW w:type="auto" w:w="0"/>
        <w:tblLayout w:type="autofit"/>
        <w:tblLook w:firstColumn="1" w:firstRow="1" w:lastColumn="0" w:lastRow="0" w:noHBand="0" w:noVBand="1" w:val="04A0"/>
      </w:tblPr>
      <w:tblGrid>
        <w:gridCol w:w="8640"/>
      </w:tblGrid>
      <w:tr>
        <w:tc>
          <w:tcPr>
            <w:tcW w:type="dxa" w:w="8640"/>
            <w:shd w:val="clear" w:color="auto" w:fill="FFEBEE"/>
          </w:tcPr>
          <w:p>
            <w:r>
              <w:rPr>
                <w:b/>
                <w:color w:val="C62828"/>
                <w:sz w:val="22"/>
              </w:rPr>
              <w:t>⚠  Confidential — facilitator use only</w:t>
              <w:br/>
            </w:r>
            <w:r>
              <w:rPr>
                <w:sz w:val="20"/>
              </w:rPr>
              <w:t>This document contains model answers and pedagogical guidance for the ARETE workshop facilitation team. It is NOT to be distributed to trainees. Trainees receive the blank paper template ("ARETE_S1_paper_template.docx") and are expected to reach their own defensible position; this key supports the facilitator in running the debrief.</w:t>
              <w:br/>
            </w:r>
          </w:p>
        </w:tc>
      </w:tr>
    </w:tbl>
    <w:p/>
    <w:p>
      <w:r>
        <w:rPr>
          <w:b/>
          <w:color w:val="0054A6"/>
          <w:sz w:val="30"/>
        </w:rPr>
        <w:t>Expected outcome band</w:t>
      </w:r>
    </w:p>
    <w:p>
      <w:r>
        <w:rPr>
          <w:b/>
          <w:color w:val="0054A6"/>
          <w:sz w:val="28"/>
        </w:rPr>
        <w:t>Unlikely risk ⇄ Risk (intentionally ambiguous)</w:t>
      </w:r>
    </w:p>
    <w:p>
      <w:r>
        <w:rPr>
          <w:sz w:val="22"/>
        </w:rPr>
        <w:t>EDPS Guidelines do not give a single canonical answer for this case. It is designed to be genuinely ambiguous between "Unlikely risk" (no notification to the EDPS required) and "Risk" (notification required, no DS communication). Strong arguments exist on both sides.</w:t>
        <w:br/>
        <w:br/>
        <w:t>Three signals push toward Risk: the remote wipe remained unexecuted; the device is in the hands of an unknown actor offline (encryption is intact today but cannot be guaranteed forever); the workshop coordinator confirmed phone numbers were also exposed in the inject.</w:t>
        <w:br/>
        <w:br/>
        <w:t>Three signals push toward Unlikely risk: BitLocker with a strong passphrase; opportunistic burglary (no targeted attack); backups exist; no special-category data.</w:t>
        <w:br/>
        <w:br/>
        <w:t>The pedagogical point is that the controller must reach a defensible position with a clear written rationale — not a single "correct" verdict.</w:t>
      </w:r>
    </w:p>
    <w:p>
      <w:r>
        <w:br w:type="page"/>
      </w:r>
    </w:p>
    <w:p>
      <w:r>
        <w:rPr>
          <w:b/>
          <w:color w:val="0054A6"/>
          <w:sz w:val="30"/>
        </w:rPr>
        <w:t>Model walkthrough — wizard step by step</w:t>
      </w:r>
    </w:p>
    <w:p>
      <w:r>
        <w:rPr>
          <w:i/>
          <w:color w:val="6B6B6B"/>
          <w:sz w:val="20"/>
        </w:rPr>
        <w:t>Each row corresponds to one step in the training wizard. The "Why" column gives the rationale you can surface in plenary if a team's answer diverges from the model.</w:t>
      </w:r>
    </w:p>
    <w:p>
      <w:r>
        <w:rPr>
          <w:b/>
          <w:color w:val="0054A6"/>
          <w:sz w:val="24"/>
        </w:rPr>
        <w:t>Path A — "Trust the encryption" → LOW</w:t>
      </w:r>
    </w:p>
    <w:tbl>
      <w:tblPr>
        <w:tblW w:type="auto" w:w="0"/>
        <w:tblLayout w:type="autofit"/>
        <w:tblLook w:firstColumn="1" w:firstRow="1" w:lastColumn="0" w:lastRow="0" w:noHBand="0" w:noVBand="1" w:val="04A0"/>
      </w:tblPr>
      <w:tblGrid>
        <w:gridCol w:w="8640"/>
      </w:tblGrid>
      <w:tr>
        <w:tc>
          <w:tcPr>
            <w:tcW w:type="dxa" w:w="8640"/>
            <w:shd w:val="clear" w:color="auto" w:fill="E8F5E9"/>
          </w:tcPr>
          <w:p>
            <w:r>
              <w:rPr>
                <w:b/>
                <w:color w:val="1D7A3F"/>
                <w:sz w:val="22"/>
              </w:rPr>
              <w:t>Outcome: LOW (crypto-effective downgrade fires)</w:t>
              <w:br/>
            </w:r>
            <w:r>
              <w:rPr>
                <w:sz w:val="20"/>
              </w:rPr>
              <w:t>Notification to EDPS not required (Art. 34). DS communication exempted via Art. 35(3)(a) — the data was rendered unintelligible to unauthorised parties through encryption with an intact key.</w:t>
              <w:br/>
            </w:r>
          </w:p>
        </w:tc>
      </w:tr>
    </w:tbl>
    <w:p/>
    <w:tbl>
      <w:tblPr>
        <w:tblW w:type="auto" w:w="0"/>
        <w:tblLayout w:type="autofit"/>
        <w:tblLook w:firstColumn="1" w:firstRow="1" w:lastColumn="0" w:lastRow="0" w:noHBand="0" w:noVBand="1" w:val="04A0"/>
      </w:tblPr>
      <w:tblGrid>
        <w:gridCol w:w="2880"/>
        <w:gridCol w:w="2880"/>
        <w:gridCol w:w="2880"/>
      </w:tblGrid>
      <w:tr>
        <w:tc>
          <w:tcPr>
            <w:tcW w:type="dxa" w:w="2880"/>
            <w:shd w:val="clear" w:color="auto" w:fill="0054A6"/>
          </w:tcPr>
          <w:p>
            <w:r>
              <w:rPr>
                <w:b/>
                <w:color w:val="FFFFFF"/>
                <w:sz w:val="20"/>
              </w:rPr>
              <w:t>Wizard step</w:t>
            </w:r>
          </w:p>
        </w:tc>
        <w:tc>
          <w:tcPr>
            <w:tcW w:type="dxa" w:w="2880"/>
            <w:shd w:val="clear" w:color="auto" w:fill="0054A6"/>
          </w:tcPr>
          <w:p>
            <w:r>
              <w:rPr>
                <w:b/>
                <w:color w:val="FFFFFF"/>
                <w:sz w:val="20"/>
              </w:rPr>
              <w:t>Model answer</w:t>
            </w:r>
          </w:p>
        </w:tc>
        <w:tc>
          <w:tcPr>
            <w:tcW w:type="dxa" w:w="2880"/>
            <w:shd w:val="clear" w:color="auto" w:fill="0054A6"/>
          </w:tcPr>
          <w:p>
            <w:r>
              <w:rPr>
                <w:b/>
                <w:color w:val="FFFFFF"/>
                <w:sz w:val="20"/>
              </w:rPr>
              <w:t>Why</w:t>
            </w:r>
          </w:p>
        </w:tc>
      </w:tr>
      <w:tr>
        <w:tc>
          <w:tcPr>
            <w:tcW w:type="dxa" w:w="2880"/>
          </w:tcPr>
          <w:p>
            <w:r>
              <w:rPr>
                <w:b/>
                <w:color w:val="0054A6"/>
                <w:sz w:val="19"/>
              </w:rPr>
              <w:t>CIA affected</w:t>
            </w:r>
          </w:p>
        </w:tc>
        <w:tc>
          <w:tcPr>
            <w:tcW w:type="dxa" w:w="2880"/>
          </w:tcPr>
          <w:p>
            <w:r>
              <w:rPr>
                <w:sz w:val="19"/>
              </w:rPr>
              <w:t>C only</w:t>
            </w:r>
          </w:p>
        </w:tc>
        <w:tc>
          <w:tcPr>
            <w:tcW w:type="dxa" w:w="2880"/>
          </w:tcPr>
          <w:p>
            <w:r>
              <w:rPr>
                <w:sz w:val="19"/>
              </w:rPr>
              <w:t>No alteration (Integrity is intact); the controller has full backups so Availability is intact.</w:t>
            </w:r>
          </w:p>
        </w:tc>
      </w:tr>
      <w:tr>
        <w:tc>
          <w:tcPr>
            <w:tcW w:type="dxa" w:w="2880"/>
            <w:shd w:val="clear" w:color="auto" w:fill="F5F3EE"/>
          </w:tcPr>
          <w:p>
            <w:r>
              <w:rPr>
                <w:b/>
                <w:color w:val="0054A6"/>
                <w:sz w:val="19"/>
              </w:rPr>
              <w:t>Cause</w:t>
            </w:r>
          </w:p>
        </w:tc>
        <w:tc>
          <w:tcPr>
            <w:tcW w:type="dxa" w:w="2880"/>
            <w:shd w:val="clear" w:color="auto" w:fill="F5F3EE"/>
          </w:tcPr>
          <w:p>
            <w:r>
              <w:rPr>
                <w:sz w:val="19"/>
              </w:rPr>
              <w:t>Loss / Theft</w:t>
            </w:r>
          </w:p>
        </w:tc>
        <w:tc>
          <w:tcPr>
            <w:tcW w:type="dxa" w:w="2880"/>
            <w:shd w:val="clear" w:color="auto" w:fill="F5F3EE"/>
          </w:tcPr>
          <w:p>
            <w:r>
              <w:rPr>
                <w:sz w:val="19"/>
              </w:rPr>
              <w:t>Immediate cause is theft. L3 refines it later as opportunistic, not targeted.</w:t>
            </w:r>
          </w:p>
        </w:tc>
      </w:tr>
      <w:tr>
        <w:tc>
          <w:tcPr>
            <w:tcW w:type="dxa" w:w="2880"/>
          </w:tcPr>
          <w:p>
            <w:r>
              <w:rPr>
                <w:b/>
                <w:color w:val="0054A6"/>
                <w:sz w:val="19"/>
              </w:rPr>
              <w:t>DS category</w:t>
            </w:r>
          </w:p>
        </w:tc>
        <w:tc>
          <w:tcPr>
            <w:tcW w:type="dxa" w:w="2880"/>
          </w:tcPr>
          <w:p>
            <w:r>
              <w:rPr>
                <w:sz w:val="19"/>
              </w:rPr>
              <w:t>EU Citizens / Residents</w:t>
            </w:r>
          </w:p>
        </w:tc>
        <w:tc>
          <w:tcPr>
            <w:tcW w:type="dxa" w:w="2880"/>
          </w:tcPr>
          <w:p>
            <w:r>
              <w:rPr>
                <w:sz w:val="19"/>
              </w:rPr>
              <w:t>Production DS register match for "external experts (general public)".</w:t>
            </w:r>
          </w:p>
        </w:tc>
      </w:tr>
      <w:tr>
        <w:tc>
          <w:tcPr>
            <w:tcW w:type="dxa" w:w="2880"/>
            <w:shd w:val="clear" w:color="auto" w:fill="F5F3EE"/>
          </w:tcPr>
          <w:p>
            <w:r>
              <w:rPr>
                <w:b/>
                <w:color w:val="0054A6"/>
                <w:sz w:val="19"/>
              </w:rPr>
              <w:t>I0 (vulnerability)</w:t>
            </w:r>
          </w:p>
        </w:tc>
        <w:tc>
          <w:tcPr>
            <w:tcW w:type="dxa" w:w="2880"/>
            <w:shd w:val="clear" w:color="auto" w:fill="F5F3EE"/>
          </w:tcPr>
          <w:p>
            <w:r>
              <w:rPr>
                <w:sz w:val="19"/>
              </w:rPr>
              <w:t>1 — Standard</w:t>
            </w:r>
          </w:p>
        </w:tc>
        <w:tc>
          <w:tcPr>
            <w:tcW w:type="dxa" w:w="2880"/>
            <w:shd w:val="clear" w:color="auto" w:fill="F5F3EE"/>
          </w:tcPr>
          <w:p>
            <w:r>
              <w:rPr>
                <w:sz w:val="19"/>
              </w:rPr>
              <w:t>Professional contacts with no inherent vulnerability profile.</w:t>
            </w:r>
          </w:p>
        </w:tc>
      </w:tr>
      <w:tr>
        <w:tc>
          <w:tcPr>
            <w:tcW w:type="dxa" w:w="2880"/>
          </w:tcPr>
          <w:p>
            <w:r>
              <w:rPr>
                <w:b/>
                <w:color w:val="0054A6"/>
                <w:sz w:val="19"/>
              </w:rPr>
              <w:t>L1 (Identification)</w:t>
            </w:r>
          </w:p>
        </w:tc>
        <w:tc>
          <w:tcPr>
            <w:tcW w:type="dxa" w:w="2880"/>
          </w:tcPr>
          <w:p>
            <w:r>
              <w:rPr>
                <w:sz w:val="19"/>
              </w:rPr>
              <w:t>1a — Strongly encrypted, key not compromised</w:t>
            </w:r>
          </w:p>
        </w:tc>
        <w:tc>
          <w:tcPr>
            <w:tcW w:type="dxa" w:w="2880"/>
          </w:tcPr>
          <w:p>
            <w:r>
              <w:rPr>
                <w:sz w:val="19"/>
              </w:rPr>
              <w:t>BitLocker + 20+ char passphrase + no evidence of key compromise → encryption is intact today. Triggers override #4 (L → 1) and override #5 (Art. 35(3)(a)).</w:t>
            </w:r>
          </w:p>
        </w:tc>
      </w:tr>
      <w:tr>
        <w:tc>
          <w:tcPr>
            <w:tcW w:type="dxa" w:w="2880"/>
            <w:shd w:val="clear" w:color="auto" w:fill="F5F3EE"/>
          </w:tcPr>
          <w:p>
            <w:r>
              <w:rPr>
                <w:b/>
                <w:color w:val="0054A6"/>
                <w:sz w:val="19"/>
              </w:rPr>
              <w:t>L2 (Where)</w:t>
            </w:r>
          </w:p>
        </w:tc>
        <w:tc>
          <w:tcPr>
            <w:tcW w:type="dxa" w:w="2880"/>
            <w:shd w:val="clear" w:color="auto" w:fill="F5F3EE"/>
          </w:tcPr>
          <w:p>
            <w:r>
              <w:rPr>
                <w:sz w:val="19"/>
              </w:rPr>
              <w:t>2 — Trusted/known recipients (limited)</w:t>
            </w:r>
          </w:p>
        </w:tc>
        <w:tc>
          <w:tcPr>
            <w:tcW w:type="dxa" w:w="2880"/>
            <w:shd w:val="clear" w:color="auto" w:fill="F5F3EE"/>
          </w:tcPr>
          <w:p>
            <w:r>
              <w:rPr>
                <w:sz w:val="19"/>
              </w:rPr>
              <w:t>A single thief or small criminal chain. Not L2=1 (containment not confirmed); not L2=3 (no redistribution evidence).</w:t>
            </w:r>
          </w:p>
        </w:tc>
      </w:tr>
      <w:tr>
        <w:tc>
          <w:tcPr>
            <w:tcW w:type="dxa" w:w="2880"/>
          </w:tcPr>
          <w:p>
            <w:r>
              <w:rPr>
                <w:b/>
                <w:color w:val="0054A6"/>
                <w:sz w:val="19"/>
              </w:rPr>
              <w:t>L3 (Cause type)</w:t>
            </w:r>
          </w:p>
        </w:tc>
        <w:tc>
          <w:tcPr>
            <w:tcW w:type="dxa" w:w="2880"/>
          </w:tcPr>
          <w:p>
            <w:r>
              <w:rPr>
                <w:sz w:val="19"/>
              </w:rPr>
              <w:t>1 — Accidental / non-malicious</w:t>
            </w:r>
          </w:p>
        </w:tc>
        <w:tc>
          <w:tcPr>
            <w:tcW w:type="dxa" w:w="2880"/>
          </w:tcPr>
          <w:p>
            <w:r>
              <w:rPr>
                <w:sz w:val="19"/>
              </w:rPr>
              <w:t>Opportunistic burglary; multiple electronics taken; no evidence the laptop was the target.</w:t>
            </w:r>
          </w:p>
        </w:tc>
      </w:tr>
      <w:tr>
        <w:tc>
          <w:tcPr>
            <w:tcW w:type="dxa" w:w="2880"/>
            <w:shd w:val="clear" w:color="auto" w:fill="F5F3EE"/>
          </w:tcPr>
          <w:p>
            <w:r>
              <w:rPr>
                <w:b/>
                <w:color w:val="0054A6"/>
                <w:sz w:val="19"/>
              </w:rPr>
              <w:t>Exfiltration</w:t>
            </w:r>
          </w:p>
        </w:tc>
        <w:tc>
          <w:tcPr>
            <w:tcW w:type="dxa" w:w="2880"/>
            <w:shd w:val="clear" w:color="auto" w:fill="F5F3EE"/>
          </w:tcPr>
          <w:p>
            <w:r>
              <w:rPr>
                <w:sz w:val="19"/>
              </w:rPr>
              <w:t>None</w:t>
            </w:r>
          </w:p>
        </w:tc>
        <w:tc>
          <w:tcPr>
            <w:tcW w:type="dxa" w:w="2880"/>
            <w:shd w:val="clear" w:color="auto" w:fill="F5F3EE"/>
          </w:tcPr>
          <w:p>
            <w:r>
              <w:rPr>
                <w:sz w:val="19"/>
              </w:rPr>
              <w:t>The bytes that left are unintelligible — consistent with L1=1a.</w:t>
            </w:r>
          </w:p>
        </w:tc>
      </w:tr>
      <w:tr>
        <w:tc>
          <w:tcPr>
            <w:tcW w:type="dxa" w:w="2880"/>
          </w:tcPr>
          <w:p>
            <w:r>
              <w:rPr>
                <w:b/>
                <w:color w:val="0054A6"/>
                <w:sz w:val="19"/>
              </w:rPr>
              <w:t>I1 (Data type)</w:t>
            </w:r>
          </w:p>
        </w:tc>
        <w:tc>
          <w:tcPr>
            <w:tcW w:type="dxa" w:w="2880"/>
          </w:tcPr>
          <w:p>
            <w:r>
              <w:rPr>
                <w:sz w:val="19"/>
              </w:rPr>
              <w:t>2 — Basic identifiers + 1 sensitive element</w:t>
            </w:r>
          </w:p>
        </w:tc>
        <w:tc>
          <w:tcPr>
            <w:tcW w:type="dxa" w:w="2880"/>
          </w:tcPr>
          <w:p>
            <w:r>
              <w:rPr>
                <w:sz w:val="19"/>
              </w:rPr>
              <w:t>Name + professional email + affiliation. With the inject, also a phone number. Not I1=1 (more than just names); not I1=3 (no financial / special-category data).</w:t>
            </w:r>
          </w:p>
        </w:tc>
      </w:tr>
      <w:tr>
        <w:tc>
          <w:tcPr>
            <w:tcW w:type="dxa" w:w="2880"/>
            <w:shd w:val="clear" w:color="auto" w:fill="F5F3EE"/>
          </w:tcPr>
          <w:p>
            <w:r>
              <w:rPr>
                <w:b/>
                <w:color w:val="0054A6"/>
                <w:sz w:val="19"/>
              </w:rPr>
              <w:t>Vol</w:t>
            </w:r>
          </w:p>
        </w:tc>
        <w:tc>
          <w:tcPr>
            <w:tcW w:type="dxa" w:w="2880"/>
            <w:shd w:val="clear" w:color="auto" w:fill="F5F3EE"/>
          </w:tcPr>
          <w:p>
            <w:r>
              <w:rPr>
                <w:sz w:val="19"/>
              </w:rPr>
              <w:t>1 — 100–1,000 records</w:t>
            </w:r>
          </w:p>
        </w:tc>
        <w:tc>
          <w:tcPr>
            <w:tcW w:type="dxa" w:w="2880"/>
            <w:shd w:val="clear" w:color="auto" w:fill="F5F3EE"/>
          </w:tcPr>
          <w:p>
            <w:r>
              <w:rPr>
                <w:sz w:val="19"/>
              </w:rPr>
              <w:t>150 records is band 1. Documentary only since v0.9.4 — does not feed the Impact formula.</w:t>
            </w:r>
          </w:p>
        </w:tc>
      </w:tr>
      <w:tr>
        <w:tc>
          <w:tcPr>
            <w:tcW w:type="dxa" w:w="2880"/>
          </w:tcPr>
          <w:p>
            <w:r>
              <w:rPr>
                <w:b/>
                <w:color w:val="0054A6"/>
                <w:sz w:val="19"/>
              </w:rPr>
              <w:t>I2 (Consequences)</w:t>
            </w:r>
          </w:p>
        </w:tc>
        <w:tc>
          <w:tcPr>
            <w:tcW w:type="dxa" w:w="2880"/>
          </w:tcPr>
          <w:p>
            <w:r>
              <w:rPr>
                <w:sz w:val="19"/>
              </w:rPr>
              <w:t>1 — Negligible / reversible</w:t>
            </w:r>
          </w:p>
        </w:tc>
        <w:tc>
          <w:tcPr>
            <w:tcW w:type="dxa" w:w="2880"/>
          </w:tcPr>
          <w:p>
            <w:r>
              <w:rPr>
                <w:sz w:val="19"/>
              </w:rPr>
              <w:t>Loss of control over professional contacts is the only meaningful consequence; reversible if encryption holds.</w:t>
            </w:r>
          </w:p>
        </w:tc>
      </w:tr>
      <w:tr>
        <w:tc>
          <w:tcPr>
            <w:tcW w:type="dxa" w:w="2880"/>
            <w:shd w:val="clear" w:color="auto" w:fill="F5F3EE"/>
          </w:tcPr>
          <w:p>
            <w:r>
              <w:rPr>
                <w:b/>
                <w:color w:val="0054A6"/>
                <w:sz w:val="19"/>
              </w:rPr>
              <w:t>Harms</w:t>
            </w:r>
          </w:p>
        </w:tc>
        <w:tc>
          <w:tcPr>
            <w:tcW w:type="dxa" w:w="2880"/>
            <w:shd w:val="clear" w:color="auto" w:fill="F5F3EE"/>
          </w:tcPr>
          <w:p>
            <w:r>
              <w:rPr>
                <w:sz w:val="19"/>
              </w:rPr>
              <w:t>(empty) + ✓ harms taxonomy reviewed</w:t>
            </w:r>
          </w:p>
        </w:tc>
        <w:tc>
          <w:tcPr>
            <w:tcW w:type="dxa" w:w="2880"/>
            <w:shd w:val="clear" w:color="auto" w:fill="F5F3EE"/>
          </w:tcPr>
          <w:p>
            <w:r>
              <w:rPr>
                <w:sz w:val="19"/>
              </w:rPr>
              <w:t>No plausible harms materialise if encryption holds. Ticking "harms reviewed" is REQUIRED to enable the null-impact and crypto-effective downgrades.</w:t>
            </w:r>
          </w:p>
        </w:tc>
      </w:tr>
      <w:tr>
        <w:tc>
          <w:tcPr>
            <w:tcW w:type="dxa" w:w="2880"/>
          </w:tcPr>
          <w:p>
            <w:r>
              <w:rPr>
                <w:b/>
                <w:color w:val="0054A6"/>
                <w:sz w:val="19"/>
              </w:rPr>
              <w:t>Containment</w:t>
            </w:r>
          </w:p>
        </w:tc>
        <w:tc>
          <w:tcPr>
            <w:tcW w:type="dxa" w:w="2880"/>
          </w:tcPr>
          <w:p>
            <w:r>
              <w:rPr>
                <w:sz w:val="19"/>
              </w:rPr>
              <w:t>Recovery: Full · Time: Hours · Persistence: Resolved</w:t>
            </w:r>
          </w:p>
        </w:tc>
        <w:tc>
          <w:tcPr>
            <w:tcW w:type="dxa" w:w="2880"/>
          </w:tcPr>
          <w:p>
            <w:r>
              <w:rPr>
                <w:sz w:val="19"/>
              </w:rPr>
              <w:t>Backups exist; no operational issue. These structured values enable the null-impact downgrade pathway (the crypto-effective downgrade fires first here).</w:t>
            </w:r>
          </w:p>
        </w:tc>
      </w:tr>
      <w:tr>
        <w:tc>
          <w:tcPr>
            <w:tcW w:type="dxa" w:w="2880"/>
            <w:shd w:val="clear" w:color="auto" w:fill="F5F3EE"/>
          </w:tcPr>
          <w:p>
            <w:r>
              <w:rPr>
                <w:b/>
                <w:color w:val="0054A6"/>
                <w:sz w:val="19"/>
              </w:rPr>
              <w:t>Multi-DS</w:t>
            </w:r>
          </w:p>
        </w:tc>
        <w:tc>
          <w:tcPr>
            <w:tcW w:type="dxa" w:w="2880"/>
            <w:shd w:val="clear" w:color="auto" w:fill="F5F3EE"/>
          </w:tcPr>
          <w:p>
            <w:r>
              <w:rPr>
                <w:sz w:val="19"/>
              </w:rPr>
              <w:t>(skip)</w:t>
            </w:r>
          </w:p>
        </w:tc>
        <w:tc>
          <w:tcPr>
            <w:tcW w:type="dxa" w:w="2880"/>
            <w:shd w:val="clear" w:color="auto" w:fill="F5F3EE"/>
          </w:tcPr>
          <w:p>
            <w:r>
              <w:rPr>
                <w:sz w:val="19"/>
              </w:rPr>
              <w:t>Single DS category. No divergent scoring.</w:t>
            </w:r>
          </w:p>
        </w:tc>
      </w:tr>
    </w:tbl>
    <w:p/>
    <w:p>
      <w:r>
        <w:rPr>
          <w:b/>
          <w:color w:val="0054A6"/>
          <w:sz w:val="22"/>
        </w:rPr>
        <w:t>Engine computation:</w:t>
      </w:r>
    </w:p>
    <w:p>
      <w:r>
        <w:rPr>
          <w:i/>
          <w:sz w:val="20"/>
        </w:rPr>
        <w:t>L = MAX(L1, L2, L3) = MAX(1, 2, 1) = 2, but override #4 collapses L → 1.</w:t>
        <w:br/>
        <w:t>I_base = MAX(I1_eff, I2) = MAX(2, 1) = 2.</w:t>
        <w:br/>
        <w:t>I = MIN(4, I_base + I0_mod) = MIN(4, 2 + 0) = 2.</w:t>
        <w:br/>
        <w:t>Matrix L=1, I=2 → LOW.</w:t>
        <w:br/>
        <w:t>Override #5 (Art. 35(3)(a)) auto-applies: suppresses DS communication only.</w:t>
        <w:br/>
        <w:t>Override #10 (crypto-effective downgrade) confirms the final band as LOW.</w:t>
      </w:r>
    </w:p>
    <w:p/>
    <w:p>
      <w:r>
        <w:rPr>
          <w:b/>
          <w:color w:val="0054A6"/>
          <w:sz w:val="24"/>
        </w:rPr>
        <w:t>Path B — "Encryption is defeatable long-term" → RISK</w:t>
      </w:r>
    </w:p>
    <w:tbl>
      <w:tblPr>
        <w:tblW w:type="auto" w:w="0"/>
        <w:tblLayout w:type="autofit"/>
        <w:tblLook w:firstColumn="1" w:firstRow="1" w:lastColumn="0" w:lastRow="0" w:noHBand="0" w:noVBand="1" w:val="04A0"/>
      </w:tblPr>
      <w:tblGrid>
        <w:gridCol w:w="8640"/>
      </w:tblGrid>
      <w:tr>
        <w:tc>
          <w:tcPr>
            <w:tcW w:type="dxa" w:w="8640"/>
            <w:shd w:val="clear" w:color="auto" w:fill="E8F5E9"/>
          </w:tcPr>
          <w:p>
            <w:r>
              <w:rPr>
                <w:b/>
                <w:color w:val="1D7A3F"/>
                <w:sz w:val="22"/>
              </w:rPr>
              <w:t>Outcome: RISK — notify the EDPS within 72h; no DS communication required.</w:t>
              <w:br/>
            </w:r>
            <w:r>
              <w:rPr>
                <w:sz w:val="20"/>
              </w:rPr>
              <w:t>Notification to EDPS required (Art. 34(1)). DS communication NOT required (Art. 35 threshold not met). If notification exceeds 72h, document the late_reasons in the Art. 34 submission.</w:t>
              <w:br/>
            </w:r>
          </w:p>
        </w:tc>
      </w:tr>
    </w:tbl>
    <w:p/>
    <w:tbl>
      <w:tblPr>
        <w:tblW w:type="auto" w:w="0"/>
        <w:tblLayout w:type="autofit"/>
        <w:tblLook w:firstColumn="1" w:firstRow="1" w:lastColumn="0" w:lastRow="0" w:noHBand="0" w:noVBand="1" w:val="04A0"/>
      </w:tblPr>
      <w:tblGrid>
        <w:gridCol w:w="2880"/>
        <w:gridCol w:w="2880"/>
        <w:gridCol w:w="2880"/>
      </w:tblGrid>
      <w:tr>
        <w:tc>
          <w:tcPr>
            <w:tcW w:type="dxa" w:w="2880"/>
            <w:shd w:val="clear" w:color="auto" w:fill="0054A6"/>
          </w:tcPr>
          <w:p>
            <w:r>
              <w:rPr>
                <w:b/>
                <w:color w:val="FFFFFF"/>
                <w:sz w:val="20"/>
              </w:rPr>
              <w:t>Wizard step</w:t>
            </w:r>
          </w:p>
        </w:tc>
        <w:tc>
          <w:tcPr>
            <w:tcW w:type="dxa" w:w="2880"/>
            <w:shd w:val="clear" w:color="auto" w:fill="0054A6"/>
          </w:tcPr>
          <w:p>
            <w:r>
              <w:rPr>
                <w:b/>
                <w:color w:val="FFFFFF"/>
                <w:sz w:val="20"/>
              </w:rPr>
              <w:t>Model answer</w:t>
            </w:r>
          </w:p>
        </w:tc>
        <w:tc>
          <w:tcPr>
            <w:tcW w:type="dxa" w:w="2880"/>
            <w:shd w:val="clear" w:color="auto" w:fill="0054A6"/>
          </w:tcPr>
          <w:p>
            <w:r>
              <w:rPr>
                <w:b/>
                <w:color w:val="FFFFFF"/>
                <w:sz w:val="20"/>
              </w:rPr>
              <w:t>Why</w:t>
            </w:r>
          </w:p>
        </w:tc>
      </w:tr>
      <w:tr>
        <w:tc>
          <w:tcPr>
            <w:tcW w:type="dxa" w:w="2880"/>
          </w:tcPr>
          <w:p>
            <w:r>
              <w:rPr>
                <w:b/>
                <w:color w:val="0054A6"/>
                <w:sz w:val="19"/>
              </w:rPr>
              <w:t>Only difference vs Path A</w:t>
            </w:r>
          </w:p>
        </w:tc>
        <w:tc>
          <w:tcPr>
            <w:tcW w:type="dxa" w:w="2880"/>
          </w:tcPr>
          <w:p>
            <w:r>
              <w:rPr>
                <w:sz w:val="19"/>
              </w:rPr>
              <w:t>L1 = 4 — Direct identifiers</w:t>
            </w:r>
          </w:p>
        </w:tc>
        <w:tc>
          <w:tcPr>
            <w:tcW w:type="dxa" w:w="2880"/>
          </w:tcPr>
          <w:p>
            <w:r>
              <w:rPr>
                <w:sz w:val="19"/>
              </w:rPr>
              <w:t>Treats the encryption as potentially defeatable over time. The pending remote wipe (device may stay offline indefinitely) supports the conservative stance. Override #4 does NOT fire — L stays at MAX(4, 2, 1) = 4.</w:t>
            </w:r>
          </w:p>
        </w:tc>
      </w:tr>
    </w:tbl>
    <w:p/>
    <w:p>
      <w:r>
        <w:rPr>
          <w:b/>
          <w:color w:val="0054A6"/>
          <w:sz w:val="22"/>
        </w:rPr>
        <w:t>Engine computation:</w:t>
      </w:r>
    </w:p>
    <w:p>
      <w:r>
        <w:rPr>
          <w:i/>
          <w:sz w:val="20"/>
        </w:rPr>
        <w:t>L = MAX(L1, L2, L3) = MAX(4, 2, 1) = 4.</w:t>
        <w:br/>
        <w:t>I = MIN(4, MAX(I1_eff, I2) + I0_mod) = MIN(4, 2 + 0) = 2.</w:t>
        <w:br/>
        <w:t>Matrix L=4, I=2 → RISK.</w:t>
        <w:br/>
        <w:t>No overrides applicable (no encryption claim; no extreme harms).</w:t>
        <w:br/>
        <w:t>Final band: RISK → Art. 34 notification required.</w:t>
      </w:r>
    </w:p>
    <w:p/>
    <w:p>
      <w:r>
        <w:br w:type="page"/>
      </w:r>
    </w:p>
    <w:p>
      <w:r>
        <w:rPr>
          <w:b/>
          <w:color w:val="0054A6"/>
          <w:sz w:val="30"/>
        </w:rPr>
        <w:t>Discussion blocks — reference answers</w:t>
      </w:r>
    </w:p>
    <w:p>
      <w:r>
        <w:rPr>
          <w:i/>
          <w:color w:val="6B6B6B"/>
          <w:sz w:val="20"/>
        </w:rPr>
        <w:t>Use these reference answers to seed the plenary discussion. They are the model the EDPS analysis would arrive at — trainees may reach different conclusions, and that is fine, provided their rationale is defensible.</w:t>
      </w:r>
    </w:p>
    <w:p>
      <w:r>
        <w:rPr>
          <w:b/>
          <w:color w:val="0054A6"/>
          <w:sz w:val="24"/>
        </w:rPr>
        <w:t>Block 1 — Immediate actions and internal information flow</w:t>
      </w:r>
    </w:p>
    <w:p>
      <w:r>
        <w:rPr>
          <w:b/>
          <w:color w:val="0054A6"/>
          <w:sz w:val="21"/>
        </w:rPr>
        <w:t xml:space="preserve">Q1.  </w:t>
      </w:r>
      <w:r>
        <w:rPr>
          <w:sz w:val="21"/>
        </w:rPr>
        <w:t>What immediate technical actions should EU Connect take?</w:t>
      </w:r>
    </w:p>
    <w:p>
      <w:pPr>
        <w:ind w:left="340"/>
      </w:pPr>
      <w:r>
        <w:rPr>
          <w:b/>
          <w:i/>
          <w:color w:val="1D7A3F"/>
          <w:sz w:val="20"/>
        </w:rPr>
        <w:t xml:space="preserve">Reference answer.  </w:t>
      </w:r>
      <w:r>
        <w:rPr>
          <w:sz w:val="20"/>
        </w:rPr>
        <w:t>Reset the consultant's VPN credentials and revoke active sessions. Revoke MDM tokens. Keep the remote-wipe command queued so it fires the moment the device reconnects. Audit the consultant's account activity over the previous weeks for unusual access patterns. Reset corporate passwords associated with the consultant. Notify the institutional CSIRT for cross-watch on the affected dataset if it surfaces.</w:t>
      </w:r>
    </w:p>
    <w:p/>
    <w:p>
      <w:r>
        <w:rPr>
          <w:b/>
          <w:color w:val="0054A6"/>
          <w:sz w:val="21"/>
        </w:rPr>
        <w:t xml:space="preserve">Q2.  </w:t>
      </w:r>
      <w:r>
        <w:rPr>
          <w:sz w:val="21"/>
        </w:rPr>
        <w:t>Who needs to be informed internally? Map the notification chain.</w:t>
      </w:r>
    </w:p>
    <w:p>
      <w:pPr>
        <w:ind w:left="340"/>
      </w:pPr>
      <w:r>
        <w:rPr>
          <w:b/>
          <w:i/>
          <w:color w:val="1D7A3F"/>
          <w:sz w:val="20"/>
        </w:rPr>
        <w:t xml:space="preserve">Reference answer.  </w:t>
      </w:r>
      <w:r>
        <w:rPr>
          <w:sz w:val="20"/>
        </w:rPr>
        <w:t>Discoverer (consultant) → Head of Unit for the UnionGate project (09:45) → EU Connect IT Security (10:00) → LISO / LCO → DPO (≈13:00 — Art. 34(1) awareness clock starts here) → Senior management and legal. The DPA Clause 6.1 obliges the processor to notify the controller within 24h — met here.</w:t>
      </w:r>
    </w:p>
    <w:p/>
    <w:p>
      <w:r>
        <w:rPr>
          <w:b/>
          <w:color w:val="0054A6"/>
          <w:sz w:val="21"/>
        </w:rPr>
        <w:t xml:space="preserve">Q3.  </w:t>
      </w:r>
      <w:r>
        <w:rPr>
          <w:sz w:val="21"/>
        </w:rPr>
        <w:t>At what precise moment does the EUIBA become "aware" for the 72h deadline?</w:t>
      </w:r>
    </w:p>
    <w:p>
      <w:pPr>
        <w:ind w:left="340"/>
      </w:pPr>
      <w:r>
        <w:rPr>
          <w:b/>
          <w:i/>
          <w:color w:val="1D7A3F"/>
          <w:sz w:val="20"/>
        </w:rPr>
        <w:t xml:space="preserve">Reference answer.  </w:t>
      </w:r>
      <w:r>
        <w:rPr>
          <w:sz w:val="20"/>
        </w:rPr>
        <w:t>When the DPO has reasonable certainty that personal data was compromised. In this case that is ≈13:00 UTC on Day 1, when the DPO is formally briefed. NOT when the theft is first discovered (08:15), NOT when IT first sees the personal-data dimension (10:30). The Art. 34 clock starts when the controller can characterise the nature of the breach, not at the first signal of an incident.</w:t>
      </w:r>
    </w:p>
    <w:p/>
    <w:p>
      <w:r>
        <w:rPr>
          <w:b/>
          <w:color w:val="0054A6"/>
          <w:sz w:val="24"/>
        </w:rPr>
        <w:t>Block 2 — Personal data breach identification</w:t>
      </w:r>
    </w:p>
    <w:p>
      <w:r>
        <w:rPr>
          <w:b/>
          <w:color w:val="0054A6"/>
          <w:sz w:val="21"/>
        </w:rPr>
        <w:t xml:space="preserve">Q1.  </w:t>
      </w:r>
      <w:r>
        <w:rPr>
          <w:sz w:val="21"/>
        </w:rPr>
        <w:t>Is this a personal data breach under Art. 3(16) EUDPR?</w:t>
      </w:r>
    </w:p>
    <w:p>
      <w:pPr>
        <w:ind w:left="340"/>
      </w:pPr>
      <w:r>
        <w:rPr>
          <w:b/>
          <w:i/>
          <w:color w:val="1D7A3F"/>
          <w:sz w:val="20"/>
        </w:rPr>
        <w:t xml:space="preserve">Reference answer.  </w:t>
      </w:r>
      <w:r>
        <w:rPr>
          <w:sz w:val="20"/>
        </w:rPr>
        <w:t>YES — it is a Confidentiality breach (potential unauthorised access to personal data on the stolen device). NOT an Integrity breach (no alteration). NOT an Availability breach (backups exist; the controller has full access to the data). Art. 3(16) covers "a breach of security leading to the accidental or unlawful destruction, loss, alteration, unauthorised disclosure of, or access to, personal data" — the theft of a device with personal data on it triggers the unauthorised-access limb whether or not the data has actually been read.</w:t>
      </w:r>
    </w:p>
    <w:p/>
    <w:p>
      <w:r>
        <w:rPr>
          <w:b/>
          <w:color w:val="0054A6"/>
          <w:sz w:val="21"/>
        </w:rPr>
        <w:t xml:space="preserve">Q2.  </w:t>
      </w:r>
      <w:r>
        <w:rPr>
          <w:sz w:val="21"/>
        </w:rPr>
        <w:t>What is the consultant's status under the EUDPR? Does the DPA matter?</w:t>
      </w:r>
    </w:p>
    <w:p>
      <w:pPr>
        <w:ind w:left="340"/>
      </w:pPr>
      <w:r>
        <w:rPr>
          <w:b/>
          <w:i/>
          <w:color w:val="1D7A3F"/>
          <w:sz w:val="20"/>
        </w:rPr>
        <w:t xml:space="preserve">Reference answer.  </w:t>
      </w:r>
      <w:r>
        <w:rPr>
          <w:sz w:val="20"/>
        </w:rPr>
        <w:t>The consultant is a PROCESSOR under Art. 29 EUDPR. The DPA matters in three ways: (a) it documents the technical safeguards (BitLocker, VPN, 30-day deletion, MDM) the controller can prove it required, (b) it formalises the 24h incident-notification obligation on the processor, (c) it gives the controller contractual evidence to attach to the Art. 34 submission. The DPA's existence DOES NOT shift the legal responsibility for the breach — EU Connect remains the controller and is the one that must notify the EDPS.</w:t>
      </w:r>
    </w:p>
    <w:p/>
    <w:p>
      <w:r>
        <w:rPr>
          <w:b/>
          <w:color w:val="0054A6"/>
          <w:sz w:val="24"/>
        </w:rPr>
        <w:t>Block 3 — Initial risk assessment for data subjects</w:t>
      </w:r>
    </w:p>
    <w:p>
      <w:r>
        <w:rPr>
          <w:b/>
          <w:color w:val="0054A6"/>
          <w:sz w:val="21"/>
        </w:rPr>
        <w:t xml:space="preserve">Q1.  </w:t>
      </w:r>
      <w:r>
        <w:rPr>
          <w:sz w:val="21"/>
        </w:rPr>
        <w:t>What is the initial risk level? Choose and justify: (a) Unlikely risk, (b) Risk, (c) High risk.</w:t>
      </w:r>
    </w:p>
    <w:p>
      <w:pPr>
        <w:ind w:left="340"/>
      </w:pPr>
      <w:r>
        <w:rPr>
          <w:b/>
          <w:i/>
          <w:color w:val="1D7A3F"/>
          <w:sz w:val="20"/>
        </w:rPr>
        <w:t xml:space="preserve">Reference answer.  </w:t>
      </w:r>
      <w:r>
        <w:rPr>
          <w:sz w:val="20"/>
        </w:rPr>
        <w:t>Either (a) Unlikely risk OR (b) Risk are defensible — see Paths A and B above. (c) High risk is NOT defensible: no special-category data, no financial data, no identifiable hostile actor with high capability. The choice depends on how much weight the team gives to the pending remote wipe and the long-term defeatability of encryption.</w:t>
      </w:r>
    </w:p>
    <w:p/>
    <w:p>
      <w:r>
        <w:rPr>
          <w:b/>
          <w:color w:val="0054A6"/>
          <w:sz w:val="21"/>
        </w:rPr>
        <w:t xml:space="preserve">Q2.  </w:t>
      </w:r>
      <w:r>
        <w:rPr>
          <w:sz w:val="21"/>
        </w:rPr>
        <w:t>What specific factors support your assessment?</w:t>
      </w:r>
    </w:p>
    <w:p>
      <w:pPr>
        <w:ind w:left="340"/>
      </w:pPr>
      <w:r>
        <w:rPr>
          <w:b/>
          <w:i/>
          <w:color w:val="1D7A3F"/>
          <w:sz w:val="20"/>
        </w:rPr>
        <w:t xml:space="preserve">Reference answer.  </w:t>
      </w:r>
      <w:r>
        <w:rPr>
          <w:sz w:val="20"/>
        </w:rPr>
        <w:t>Toward Unlikely risk: BitLocker with strong passphrase; opportunistic theft (not targeted); backups exist; no special-category data; data is professional, not intimate. Toward Risk: pending remote wipe; device offline indefinitely; long-term encryption defeatability; the inject adds phone numbers (which increase phishing / vishing risk). Both lists are valid — the trainee must weigh them explicitly.</w:t>
      </w:r>
    </w:p>
    <w:p/>
    <w:p>
      <w:r>
        <w:rPr>
          <w:b/>
          <w:color w:val="0054A6"/>
          <w:sz w:val="21"/>
        </w:rPr>
        <w:t xml:space="preserve">Q3.  </w:t>
      </w:r>
      <w:r>
        <w:rPr>
          <w:sz w:val="21"/>
        </w:rPr>
        <w:t>What critical information is still missing?</w:t>
      </w:r>
    </w:p>
    <w:p>
      <w:pPr>
        <w:ind w:left="340"/>
      </w:pPr>
      <w:r>
        <w:rPr>
          <w:b/>
          <w:i/>
          <w:color w:val="1D7A3F"/>
          <w:sz w:val="20"/>
        </w:rPr>
        <w:t xml:space="preserve">Reference answer.  </w:t>
      </w:r>
      <w:r>
        <w:rPr>
          <w:sz w:val="20"/>
        </w:rPr>
        <w:t>(i) Forensic confirmation that the passphrase was not written on a post-it on the desk. (ii) MDM status updates (did the device finally reconnect?). (iii) Exact contents of the dataset (anything beyond the phone numbers identified in the inject?). (iv) Background on the consultant — could this be a targeted break-in rather than opportunistic? (v) Confirmation that no other devices or credentials were taken in the same burglary.</w:t>
      </w:r>
    </w:p>
    <w:p/>
    <w:p>
      <w:r>
        <w:br w:type="page"/>
      </w:r>
    </w:p>
    <w:p>
      <w:r>
        <w:rPr>
          <w:b/>
          <w:color w:val="0054A6"/>
          <w:sz w:val="30"/>
        </w:rPr>
        <w:t>Day 1, 14:00 UTC — Inject analysis</w:t>
      </w:r>
    </w:p>
    <w:p>
      <w:r>
        <w:rPr>
          <w:sz w:val="22"/>
        </w:rPr>
        <w:t>Two new facts arrive: (1) the MDM confirms the laptop has not connected since the theft, so the remote wipe cannot be executed if the device stays offline; (2) the workshop coordinator confirms the dataset included direct phone numbers, added separately for logistics.</w:t>
      </w:r>
    </w:p>
    <w:p>
      <w:r>
        <w:rPr>
          <w:b/>
          <w:color w:val="0054A6"/>
          <w:sz w:val="22"/>
        </w:rPr>
        <w:t>How the inject shifts the assessment</w:t>
      </w:r>
    </w:p>
    <w:p>
      <w:r>
        <w:rPr>
          <w:sz w:val="22"/>
        </w:rPr>
        <w:t>The inject strengthens Path B (RISK). The offline-indefinite scenario closes the door on technical remediation. The phone numbers raise the risk of vishing / SMS phishing targeted at the identified experts. If the team had landed on Path A (Unlikely risk), the inject is the pedagogical lever to move the discussion toward RISK. Engine-wise: I1 likely shifts from 1 to 2 with more identifiers, but L1 does not change unless the team explicitly switches its encryption stance.</w:t>
      </w:r>
    </w:p>
    <w:p>
      <w:r>
        <w:br w:type="page"/>
      </w:r>
    </w:p>
    <w:p>
      <w:r>
        <w:rPr>
          <w:b/>
          <w:color w:val="0054A6"/>
          <w:sz w:val="30"/>
        </w:rPr>
        <w:t>Pedagogical key points</w:t>
      </w:r>
    </w:p>
    <w:p>
      <w:r>
        <w:rPr>
          <w:i/>
          <w:color w:val="6B6B6B"/>
          <w:sz w:val="20"/>
        </w:rPr>
        <w:t>Surface these moments in the plenary debrief.</w:t>
      </w:r>
    </w:p>
    <w:p>
      <w:pPr>
        <w:pStyle w:val="ListBullet"/>
        <w:ind w:left="340"/>
      </w:pPr>
      <w:r>
        <w:rPr>
          <w:sz w:val="21"/>
        </w:rPr>
        <w:t>The scenario is designed to be ambiguous. Resist the urge to declare a winner. The deliverable is the WRITTEN RATIONALE, not the band.</w:t>
      </w:r>
    </w:p>
    <w:p>
      <w:pPr>
        <w:pStyle w:val="ListBullet"/>
        <w:ind w:left="340"/>
      </w:pPr>
      <w:r>
        <w:rPr>
          <w:sz w:val="21"/>
        </w:rPr>
        <w:t>Show the distribution of responses from the cohort dashboard: how many said Unlikely, Risk, High risk in the diagnostic. Use it to launch the discussion.</w:t>
      </w:r>
    </w:p>
    <w:p>
      <w:pPr>
        <w:pStyle w:val="ListBullet"/>
        <w:ind w:left="340"/>
      </w:pPr>
      <w:r>
        <w:rPr>
          <w:sz w:val="21"/>
        </w:rPr>
        <w:t>Invite one trainee from each camp to read their rationale aloud. Compare framings.</w:t>
      </w:r>
    </w:p>
    <w:p>
      <w:pPr>
        <w:pStyle w:val="ListBullet"/>
        <w:ind w:left="340"/>
      </w:pPr>
      <w:r>
        <w:rPr>
          <w:sz w:val="21"/>
        </w:rPr>
        <w:t>Reference EDPB Case 10 (stolen encrypted laptop → LOW) and EDPB Case 11 (stolen unencrypted laptop → HIGH RISK) to show how this case sits on the spectrum between them.</w:t>
      </w:r>
    </w:p>
    <w:p>
      <w:pPr>
        <w:pStyle w:val="ListBullet"/>
        <w:ind w:left="340"/>
      </w:pPr>
      <w:r>
        <w:rPr>
          <w:sz w:val="21"/>
        </w:rPr>
        <w:t>Surface the Art. 34 awareness-moment question (≈13:00 UTC). Many EUIBAs in practice start the 72h clock too early (detection moment) or too late (formal DPO email) — both miss the EDPS guidance.</w:t>
      </w:r>
    </w:p>
    <w:p>
      <w:pPr>
        <w:pStyle w:val="ListBullet"/>
        <w:ind w:left="340"/>
      </w:pPr>
      <w:r>
        <w:rPr>
          <w:sz w:val="21"/>
        </w:rPr>
        <w:t>Tie the case to Finding 2 from the EDPS analysis: organisational risk vs data-subject risk. The breach poses minimal organisational risk (backups exist) but a meaningful data-subject risk (loss of control over professional contact data). The methodology is designed to surface the DS risk — not the org risk.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