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54A6"/>
          <w:sz w:val="40"/>
        </w:rPr>
        <w:t>ARETE Programme — Facilitator Solution Key</w:t>
      </w:r>
    </w:p>
    <w:p>
      <w:r>
        <w:rPr>
          <w:b/>
          <w:color w:val="0054A6"/>
          <w:sz w:val="30"/>
        </w:rPr>
        <w:t>ARETE Scenario 2 — The Inter-Agency Data Leak</w:t>
      </w:r>
    </w:p>
    <w:p>
      <w:r>
        <w:rPr>
          <w:i/>
          <w:color w:val="6B6B6B"/>
          <w:sz w:val="20"/>
        </w:rPr>
        <w:t>Facilitator Solution Key — phishing → MFA disabled → 50 GB exfiltrated</w:t>
      </w:r>
    </w:p>
    <w:p/>
    <w:tbl>
      <w:tblPr>
        <w:tblW w:type="auto" w:w="0"/>
        <w:tblLayout w:type="autofit"/>
        <w:tblLook w:firstColumn="1" w:firstRow="1" w:lastColumn="0" w:lastRow="0" w:noHBand="0" w:noVBand="1" w:val="04A0"/>
      </w:tblPr>
      <w:tblGrid>
        <w:gridCol w:w="8640"/>
      </w:tblGrid>
      <w:tr>
        <w:tc>
          <w:tcPr>
            <w:tcW w:type="dxa" w:w="8640"/>
            <w:shd w:val="clear" w:color="auto" w:fill="FFEBEE"/>
          </w:tcPr>
          <w:p>
            <w:r>
              <w:rPr>
                <w:b/>
                <w:color w:val="C62828"/>
                <w:sz w:val="22"/>
              </w:rPr>
              <w:t>⚠  Confidential — facilitator use only</w:t>
              <w:br/>
            </w:r>
            <w:r>
              <w:rPr>
                <w:sz w:val="20"/>
              </w:rPr>
              <w:t>This document contains model answers and pedagogical guidance for the ARETE workshop facilitation team. It is NOT to be distributed to trainees. Trainees receive the blank paper template ("ARETE_S1_paper_template.docx") and are expected to reach their own defensible position; this key supports the facilitator in running the debrief.</w:t>
              <w:br/>
            </w:r>
          </w:p>
        </w:tc>
      </w:tr>
    </w:tbl>
    <w:p/>
    <w:p>
      <w:r>
        <w:rPr>
          <w:b/>
          <w:color w:val="0054A6"/>
          <w:sz w:val="30"/>
        </w:rPr>
        <w:t>Expected outcome band</w:t>
      </w:r>
    </w:p>
    <w:p>
      <w:r>
        <w:rPr>
          <w:b/>
          <w:color w:val="0054A6"/>
          <w:sz w:val="28"/>
        </w:rPr>
        <w:t>HIGH RISK</w:t>
      </w:r>
    </w:p>
    <w:p>
      <w:r>
        <w:rPr>
          <w:sz w:val="22"/>
        </w:rPr>
        <w:t>EDPS guidance places this in HIGH RISK territory — notification to the EDPS within 72h AND communication to affected data subjects without undue delay.</w:t>
        <w:br/>
        <w:br/>
        <w:t>Several converging signals: (a) the data combination for current and former employees (name + address + national ID + bank account + payroll) enables identity theft and financial fraud — a §113-class harm; (b) confirmed exfiltration (50 GB uploaded to an external server, DLP bypassed by encryption); (c) lateral movement across multiple mailboxes; (d) the attack vector exposes an institutional control gap (MFA disabled).</w:t>
        <w:br/>
        <w:br/>
        <w:t>The inject compounds the case with a separate violation of the storage limitation principle and reputational pressure. The pedagogical point is that the room must distinguish the breach itself (HIGH RISK) from the additional accountability questions raised by the retention violation and the press inquiry — and decide whether they belong in the same Art. 34 notification.</w:t>
      </w:r>
    </w:p>
    <w:p>
      <w:r>
        <w:br w:type="page"/>
      </w:r>
    </w:p>
    <w:p>
      <w:r>
        <w:rPr>
          <w:b/>
          <w:color w:val="0054A6"/>
          <w:sz w:val="30"/>
        </w:rPr>
        <w:t>Model walkthrough — wizard step by step</w:t>
      </w:r>
    </w:p>
    <w:p>
      <w:r>
        <w:rPr>
          <w:i/>
          <w:color w:val="6B6B6B"/>
          <w:sz w:val="20"/>
        </w:rPr>
        <w:t>Each row corresponds to one step in the training wizard. The "Why" column gives the rationale you can surface in plenary if a team's answer diverges from the model.</w:t>
      </w:r>
    </w:p>
    <w:p>
      <w:r>
        <w:rPr>
          <w:b/>
          <w:color w:val="0054A6"/>
          <w:sz w:val="24"/>
        </w:rPr>
        <w:t>Model walkthrough → HIGH RISK</w:t>
      </w:r>
    </w:p>
    <w:tbl>
      <w:tblPr>
        <w:tblW w:type="auto" w:w="0"/>
        <w:tblLayout w:type="autofit"/>
        <w:tblLook w:firstColumn="1" w:firstRow="1" w:lastColumn="0" w:lastRow="0" w:noHBand="0" w:noVBand="1" w:val="04A0"/>
      </w:tblPr>
      <w:tblGrid>
        <w:gridCol w:w="8640"/>
      </w:tblGrid>
      <w:tr>
        <w:tc>
          <w:tcPr>
            <w:tcW w:type="dxa" w:w="8640"/>
            <w:shd w:val="clear" w:color="auto" w:fill="E8F5E9"/>
          </w:tcPr>
          <w:p>
            <w:r>
              <w:rPr>
                <w:b/>
                <w:color w:val="1D7A3F"/>
                <w:sz w:val="22"/>
              </w:rPr>
              <w:t>Outcome: HIGH RISK — notify the EDPS AND communicate to data subjects.</w:t>
              <w:br/>
            </w:r>
            <w:r>
              <w:rPr>
                <w:sz w:val="20"/>
              </w:rPr>
              <w:t>Art. 34(1) notification to the EDPS within 72h (DPO submits). Art. 35(1) communication to affected data subjects without undue delay — cover the four mandatory elements: nature, consequences, mitigation, contact. Document the late_reasons if the notification slips past 72h (likely given the volume of access requests in the inject).</w:t>
              <w:br/>
            </w:r>
          </w:p>
        </w:tc>
      </w:tr>
    </w:tbl>
    <w:p/>
    <w:tbl>
      <w:tblPr>
        <w:tblW w:type="auto" w:w="0"/>
        <w:tblLayout w:type="autofit"/>
        <w:tblLook w:firstColumn="1" w:firstRow="1" w:lastColumn="0" w:lastRow="0" w:noHBand="0" w:noVBand="1" w:val="04A0"/>
      </w:tblPr>
      <w:tblGrid>
        <w:gridCol w:w="2880"/>
        <w:gridCol w:w="2880"/>
        <w:gridCol w:w="2880"/>
      </w:tblGrid>
      <w:tr>
        <w:tc>
          <w:tcPr>
            <w:tcW w:type="dxa" w:w="2880"/>
            <w:shd w:val="clear" w:color="auto" w:fill="0054A6"/>
          </w:tcPr>
          <w:p>
            <w:r>
              <w:rPr>
                <w:b/>
                <w:color w:val="FFFFFF"/>
                <w:sz w:val="20"/>
              </w:rPr>
              <w:t>Wizard step</w:t>
            </w:r>
          </w:p>
        </w:tc>
        <w:tc>
          <w:tcPr>
            <w:tcW w:type="dxa" w:w="2880"/>
            <w:shd w:val="clear" w:color="auto" w:fill="0054A6"/>
          </w:tcPr>
          <w:p>
            <w:r>
              <w:rPr>
                <w:b/>
                <w:color w:val="FFFFFF"/>
                <w:sz w:val="20"/>
              </w:rPr>
              <w:t>Model answer</w:t>
            </w:r>
          </w:p>
        </w:tc>
        <w:tc>
          <w:tcPr>
            <w:tcW w:type="dxa" w:w="2880"/>
            <w:shd w:val="clear" w:color="auto" w:fill="0054A6"/>
          </w:tcPr>
          <w:p>
            <w:r>
              <w:rPr>
                <w:b/>
                <w:color w:val="FFFFFF"/>
                <w:sz w:val="20"/>
              </w:rPr>
              <w:t>Why</w:t>
            </w:r>
          </w:p>
        </w:tc>
      </w:tr>
      <w:tr>
        <w:tc>
          <w:tcPr>
            <w:tcW w:type="dxa" w:w="2880"/>
          </w:tcPr>
          <w:p>
            <w:r>
              <w:rPr>
                <w:b/>
                <w:color w:val="0054A6"/>
                <w:sz w:val="19"/>
              </w:rPr>
              <w:t>CIA affected</w:t>
            </w:r>
          </w:p>
        </w:tc>
        <w:tc>
          <w:tcPr>
            <w:tcW w:type="dxa" w:w="2880"/>
          </w:tcPr>
          <w:p>
            <w:r>
              <w:rPr>
                <w:sz w:val="19"/>
              </w:rPr>
              <w:t>C only</w:t>
            </w:r>
          </w:p>
        </w:tc>
        <w:tc>
          <w:tcPr>
            <w:tcW w:type="dxa" w:w="2880"/>
          </w:tcPr>
          <w:p>
            <w:r>
              <w:rPr>
                <w:sz w:val="19"/>
              </w:rPr>
              <w:t>Confidentiality breach (exfiltration). Integrity and Availability intact (the source data is untouched; 3 mailboxes blocked is transient operational impact).</w:t>
            </w:r>
          </w:p>
        </w:tc>
      </w:tr>
      <w:tr>
        <w:tc>
          <w:tcPr>
            <w:tcW w:type="dxa" w:w="2880"/>
            <w:shd w:val="clear" w:color="auto" w:fill="F5F3EE"/>
          </w:tcPr>
          <w:p>
            <w:r>
              <w:rPr>
                <w:b/>
                <w:color w:val="0054A6"/>
                <w:sz w:val="19"/>
              </w:rPr>
              <w:t>Cause</w:t>
            </w:r>
          </w:p>
        </w:tc>
        <w:tc>
          <w:tcPr>
            <w:tcW w:type="dxa" w:w="2880"/>
            <w:shd w:val="clear" w:color="auto" w:fill="F5F3EE"/>
          </w:tcPr>
          <w:p>
            <w:r>
              <w:rPr>
                <w:sz w:val="19"/>
              </w:rPr>
              <w:t>External Attack</w:t>
            </w:r>
          </w:p>
        </w:tc>
        <w:tc>
          <w:tcPr>
            <w:tcW w:type="dxa" w:w="2880"/>
            <w:shd w:val="clear" w:color="auto" w:fill="F5F3EE"/>
          </w:tcPr>
          <w:p>
            <w:r>
              <w:rPr>
                <w:sz w:val="19"/>
              </w:rPr>
              <w:t>Phishing → credential theft → lateral movement. Classic external-attack profile.</w:t>
            </w:r>
          </w:p>
        </w:tc>
      </w:tr>
      <w:tr>
        <w:tc>
          <w:tcPr>
            <w:tcW w:type="dxa" w:w="2880"/>
          </w:tcPr>
          <w:p>
            <w:r>
              <w:rPr>
                <w:b/>
                <w:color w:val="0054A6"/>
                <w:sz w:val="19"/>
              </w:rPr>
              <w:t>DS category (primary)</w:t>
            </w:r>
          </w:p>
        </w:tc>
        <w:tc>
          <w:tcPr>
            <w:tcW w:type="dxa" w:w="2880"/>
          </w:tcPr>
          <w:p>
            <w:r>
              <w:rPr>
                <w:sz w:val="19"/>
              </w:rPr>
              <w:t>EUI employees</w:t>
            </w:r>
          </w:p>
        </w:tc>
        <w:tc>
          <w:tcPr>
            <w:tcW w:type="dxa" w:w="2880"/>
          </w:tcPr>
          <w:p>
            <w:r>
              <w:rPr>
                <w:sz w:val="19"/>
              </w:rPr>
              <w:t>Current employees take the brunt: name + address + national ID + bank account + payroll = identity-theft kit.</w:t>
            </w:r>
          </w:p>
        </w:tc>
      </w:tr>
      <w:tr>
        <w:tc>
          <w:tcPr>
            <w:tcW w:type="dxa" w:w="2880"/>
            <w:shd w:val="clear" w:color="auto" w:fill="F5F3EE"/>
          </w:tcPr>
          <w:p>
            <w:r>
              <w:rPr>
                <w:b/>
                <w:color w:val="0054A6"/>
                <w:sz w:val="19"/>
              </w:rPr>
              <w:t>I0 (vulnerability)</w:t>
            </w:r>
          </w:p>
        </w:tc>
        <w:tc>
          <w:tcPr>
            <w:tcW w:type="dxa" w:w="2880"/>
            <w:shd w:val="clear" w:color="auto" w:fill="F5F3EE"/>
          </w:tcPr>
          <w:p>
            <w:r>
              <w:rPr>
                <w:sz w:val="19"/>
              </w:rPr>
              <w:t>2 — Slightly elevated</w:t>
            </w:r>
          </w:p>
        </w:tc>
        <w:tc>
          <w:tcPr>
            <w:tcW w:type="dxa" w:w="2880"/>
            <w:shd w:val="clear" w:color="auto" w:fill="F5F3EE"/>
          </w:tcPr>
          <w:p>
            <w:r>
              <w:rPr>
                <w:sz w:val="19"/>
              </w:rPr>
              <w:t>Employees with power imbalance vs the institution. Add a divergent assessment for candidates (also I0=2, but I1 differs).</w:t>
            </w:r>
          </w:p>
        </w:tc>
      </w:tr>
      <w:tr>
        <w:tc>
          <w:tcPr>
            <w:tcW w:type="dxa" w:w="2880"/>
          </w:tcPr>
          <w:p>
            <w:r>
              <w:rPr>
                <w:b/>
                <w:color w:val="0054A6"/>
                <w:sz w:val="19"/>
              </w:rPr>
              <w:t>L1 (Identification)</w:t>
            </w:r>
          </w:p>
        </w:tc>
        <w:tc>
          <w:tcPr>
            <w:tcW w:type="dxa" w:w="2880"/>
          </w:tcPr>
          <w:p>
            <w:r>
              <w:rPr>
                <w:sz w:val="19"/>
              </w:rPr>
              <w:t>4 — Direct identifiers</w:t>
            </w:r>
          </w:p>
        </w:tc>
        <w:tc>
          <w:tcPr>
            <w:tcW w:type="dxa" w:w="2880"/>
          </w:tcPr>
          <w:p>
            <w:r>
              <w:rPr>
                <w:sz w:val="19"/>
              </w:rPr>
              <w:t>Names, national IDs, bank accounts — directly identifying.</w:t>
            </w:r>
          </w:p>
        </w:tc>
      </w:tr>
      <w:tr>
        <w:tc>
          <w:tcPr>
            <w:tcW w:type="dxa" w:w="2880"/>
            <w:shd w:val="clear" w:color="auto" w:fill="F5F3EE"/>
          </w:tcPr>
          <w:p>
            <w:r>
              <w:rPr>
                <w:b/>
                <w:color w:val="0054A6"/>
                <w:sz w:val="19"/>
              </w:rPr>
              <w:t>L2 (Where)</w:t>
            </w:r>
          </w:p>
        </w:tc>
        <w:tc>
          <w:tcPr>
            <w:tcW w:type="dxa" w:w="2880"/>
            <w:shd w:val="clear" w:color="auto" w:fill="F5F3EE"/>
          </w:tcPr>
          <w:p>
            <w:r>
              <w:rPr>
                <w:sz w:val="19"/>
              </w:rPr>
              <w:t>4 — Public/exfiltrated</w:t>
            </w:r>
          </w:p>
        </w:tc>
        <w:tc>
          <w:tcPr>
            <w:tcW w:type="dxa" w:w="2880"/>
            <w:shd w:val="clear" w:color="auto" w:fill="F5F3EE"/>
          </w:tcPr>
          <w:p>
            <w:r>
              <w:rPr>
                <w:sz w:val="19"/>
              </w:rPr>
              <w:t>Confirmed exfiltration to an external server. DLP bypassed via encryption.</w:t>
            </w:r>
          </w:p>
        </w:tc>
      </w:tr>
      <w:tr>
        <w:tc>
          <w:tcPr>
            <w:tcW w:type="dxa" w:w="2880"/>
          </w:tcPr>
          <w:p>
            <w:r>
              <w:rPr>
                <w:b/>
                <w:color w:val="0054A6"/>
                <w:sz w:val="19"/>
              </w:rPr>
              <w:t>L3 (Cause type)</w:t>
            </w:r>
          </w:p>
        </w:tc>
        <w:tc>
          <w:tcPr>
            <w:tcW w:type="dxa" w:w="2880"/>
          </w:tcPr>
          <w:p>
            <w:r>
              <w:rPr>
                <w:sz w:val="19"/>
              </w:rPr>
              <w:t>3 — Targeted attack</w:t>
            </w:r>
          </w:p>
        </w:tc>
        <w:tc>
          <w:tcPr>
            <w:tcW w:type="dxa" w:w="2880"/>
          </w:tcPr>
          <w:p>
            <w:r>
              <w:rPr>
                <w:sz w:val="19"/>
              </w:rPr>
              <w:t>Phishing tailored to the recipient. Keyword search ("ID", "payroll", "contract") confirms targeted intent. Not L3=4 (no evidence of state-sponsored APT).</w:t>
            </w:r>
          </w:p>
        </w:tc>
      </w:tr>
      <w:tr>
        <w:tc>
          <w:tcPr>
            <w:tcW w:type="dxa" w:w="2880"/>
            <w:shd w:val="clear" w:color="auto" w:fill="F5F3EE"/>
          </w:tcPr>
          <w:p>
            <w:r>
              <w:rPr>
                <w:b/>
                <w:color w:val="0054A6"/>
                <w:sz w:val="19"/>
              </w:rPr>
              <w:t>Exfiltration</w:t>
            </w:r>
          </w:p>
        </w:tc>
        <w:tc>
          <w:tcPr>
            <w:tcW w:type="dxa" w:w="2880"/>
            <w:shd w:val="clear" w:color="auto" w:fill="F5F3EE"/>
          </w:tcPr>
          <w:p>
            <w:r>
              <w:rPr>
                <w:sz w:val="19"/>
              </w:rPr>
              <w:t>Confirmed</w:t>
            </w:r>
          </w:p>
        </w:tc>
        <w:tc>
          <w:tcPr>
            <w:tcW w:type="dxa" w:w="2880"/>
            <w:shd w:val="clear" w:color="auto" w:fill="F5F3EE"/>
          </w:tcPr>
          <w:p>
            <w:r>
              <w:rPr>
                <w:sz w:val="19"/>
              </w:rPr>
              <w:t>50 GB uploaded to attacker-controlled infrastructure. Triggers L≥4 floor.</w:t>
            </w:r>
          </w:p>
        </w:tc>
      </w:tr>
      <w:tr>
        <w:tc>
          <w:tcPr>
            <w:tcW w:type="dxa" w:w="2880"/>
          </w:tcPr>
          <w:p>
            <w:r>
              <w:rPr>
                <w:b/>
                <w:color w:val="0054A6"/>
                <w:sz w:val="19"/>
              </w:rPr>
              <w:t>I1 (Data type)</w:t>
            </w:r>
          </w:p>
        </w:tc>
        <w:tc>
          <w:tcPr>
            <w:tcW w:type="dxa" w:w="2880"/>
          </w:tcPr>
          <w:p>
            <w:r>
              <w:rPr>
                <w:sz w:val="19"/>
              </w:rPr>
              <w:t>3 — High sensitivity</w:t>
            </w:r>
          </w:p>
        </w:tc>
        <w:tc>
          <w:tcPr>
            <w:tcW w:type="dxa" w:w="2880"/>
          </w:tcPr>
          <w:p>
            <w:r>
              <w:rPr>
                <w:sz w:val="19"/>
              </w:rPr>
              <w:t>Financial data (bank accounts, payroll). Tick "data combination enables harm" — the identity-theft kit forces I1_eff to MAX(I1, 3) = 3.</w:t>
            </w:r>
          </w:p>
        </w:tc>
      </w:tr>
      <w:tr>
        <w:tc>
          <w:tcPr>
            <w:tcW w:type="dxa" w:w="2880"/>
            <w:shd w:val="clear" w:color="auto" w:fill="F5F3EE"/>
          </w:tcPr>
          <w:p>
            <w:r>
              <w:rPr>
                <w:b/>
                <w:color w:val="0054A6"/>
                <w:sz w:val="19"/>
              </w:rPr>
              <w:t>Vol</w:t>
            </w:r>
          </w:p>
        </w:tc>
        <w:tc>
          <w:tcPr>
            <w:tcW w:type="dxa" w:w="2880"/>
            <w:shd w:val="clear" w:color="auto" w:fill="F5F3EE"/>
          </w:tcPr>
          <w:p>
            <w:r>
              <w:rPr>
                <w:sz w:val="19"/>
              </w:rPr>
              <w:t>3 — Very large (&gt;10,000)</w:t>
            </w:r>
          </w:p>
        </w:tc>
        <w:tc>
          <w:tcPr>
            <w:tcW w:type="dxa" w:w="2880"/>
            <w:shd w:val="clear" w:color="auto" w:fill="F5F3EE"/>
          </w:tcPr>
          <w:p>
            <w:r>
              <w:rPr>
                <w:sz w:val="19"/>
              </w:rPr>
              <w:t>15,000 individuals affected. Documentary only.</w:t>
            </w:r>
          </w:p>
        </w:tc>
      </w:tr>
      <w:tr>
        <w:tc>
          <w:tcPr>
            <w:tcW w:type="dxa" w:w="2880"/>
          </w:tcPr>
          <w:p>
            <w:r>
              <w:rPr>
                <w:b/>
                <w:color w:val="0054A6"/>
                <w:sz w:val="19"/>
              </w:rPr>
              <w:t>I2 (Consequences)</w:t>
            </w:r>
          </w:p>
        </w:tc>
        <w:tc>
          <w:tcPr>
            <w:tcW w:type="dxa" w:w="2880"/>
          </w:tcPr>
          <w:p>
            <w:r>
              <w:rPr>
                <w:sz w:val="19"/>
              </w:rPr>
              <w:t>3 — Significant consequences</w:t>
            </w:r>
          </w:p>
        </w:tc>
        <w:tc>
          <w:tcPr>
            <w:tcW w:type="dxa" w:w="2880"/>
          </w:tcPr>
          <w:p>
            <w:r>
              <w:rPr>
                <w:sz w:val="19"/>
              </w:rPr>
              <w:t>Identity theft and financial fraud are foreseeable. Not I2=4 (reversibility with active monitoring + credit-freeze + bank account changes).</w:t>
            </w:r>
          </w:p>
        </w:tc>
      </w:tr>
      <w:tr>
        <w:tc>
          <w:tcPr>
            <w:tcW w:type="dxa" w:w="2880"/>
            <w:shd w:val="clear" w:color="auto" w:fill="F5F3EE"/>
          </w:tcPr>
          <w:p>
            <w:r>
              <w:rPr>
                <w:b/>
                <w:color w:val="0054A6"/>
                <w:sz w:val="19"/>
              </w:rPr>
              <w:t>Harms</w:t>
            </w:r>
          </w:p>
        </w:tc>
        <w:tc>
          <w:tcPr>
            <w:tcW w:type="dxa" w:w="2880"/>
            <w:shd w:val="clear" w:color="auto" w:fill="F5F3EE"/>
          </w:tcPr>
          <w:p>
            <w:r>
              <w:rPr>
                <w:sz w:val="19"/>
              </w:rPr>
              <w:t>Identity theft + Financial loss + Loss of control + Targeted surveillance + Psychological impact + Damage to professional standing + Misuse of credentials. Tick “harms taxonomy reviewed”.</w:t>
            </w:r>
          </w:p>
        </w:tc>
        <w:tc>
          <w:tcPr>
            <w:tcW w:type="dxa" w:w="2880"/>
            <w:shd w:val="clear" w:color="auto" w:fill="F5F3EE"/>
          </w:tcPr>
          <w:p>
            <w:r>
              <w:rPr>
                <w:sz w:val="19"/>
              </w:rPr>
              <w:t>Identity theft and Financial loss are §113-class harms — drive the matrix to HIGH RISK at L≥4 ∧ I≥3. No "extreme" harms ticked (no physical danger, no liberty loss) — the override #1 floor does NOT fire here. HIGH RISK is reached through the matrix, not via the extreme-harm override.</w:t>
            </w:r>
          </w:p>
        </w:tc>
      </w:tr>
      <w:tr>
        <w:tc>
          <w:tcPr>
            <w:tcW w:type="dxa" w:w="2880"/>
          </w:tcPr>
          <w:p>
            <w:r>
              <w:rPr>
                <w:b/>
                <w:color w:val="0054A6"/>
                <w:sz w:val="19"/>
              </w:rPr>
              <w:t>Containment</w:t>
            </w:r>
          </w:p>
        </w:tc>
        <w:tc>
          <w:tcPr>
            <w:tcW w:type="dxa" w:w="2880"/>
          </w:tcPr>
          <w:p>
            <w:r>
              <w:rPr>
                <w:sz w:val="19"/>
              </w:rPr>
              <w:t>3 mailboxes blocked; account disabled. Recovery: Partial · Time: Days · Persistence: Ongoing.</w:t>
            </w:r>
          </w:p>
        </w:tc>
        <w:tc>
          <w:tcPr>
            <w:tcW w:type="dxa" w:w="2880"/>
          </w:tcPr>
          <w:p>
            <w:r>
              <w:rPr>
                <w:sz w:val="19"/>
              </w:rPr>
              <w:t>The exfiltrated data is out and cannot be recovered. The blocked mailboxes are an operational, not data-subject, recovery.</w:t>
            </w:r>
          </w:p>
        </w:tc>
      </w:tr>
      <w:tr>
        <w:tc>
          <w:tcPr>
            <w:tcW w:type="dxa" w:w="2880"/>
            <w:shd w:val="clear" w:color="auto" w:fill="F5F3EE"/>
          </w:tcPr>
          <w:p>
            <w:r>
              <w:rPr>
                <w:b/>
                <w:color w:val="0054A6"/>
                <w:sz w:val="19"/>
              </w:rPr>
              <w:t>Multi-DS</w:t>
            </w:r>
          </w:p>
        </w:tc>
        <w:tc>
          <w:tcPr>
            <w:tcW w:type="dxa" w:w="2880"/>
            <w:shd w:val="clear" w:color="auto" w:fill="F5F3EE"/>
          </w:tcPr>
          <w:p>
            <w:r>
              <w:rPr>
                <w:sz w:val="19"/>
              </w:rPr>
              <w:t>Add a divergent assessment for candidates (I1 lower — only email + phone) and former employees (same I1 as current employees, but population can be hard to reach for the Art. 35 communication).</w:t>
            </w:r>
          </w:p>
        </w:tc>
        <w:tc>
          <w:tcPr>
            <w:tcW w:type="dxa" w:w="2880"/>
            <w:shd w:val="clear" w:color="auto" w:fill="F5F3EE"/>
          </w:tcPr>
          <w:p>
            <w:r>
              <w:rPr>
                <w:sz w:val="19"/>
              </w:rPr>
              <w:t>Candidates' scoring is RISK rather than HIGH RISK. The Art. 34 notification covers all three groups; the Art. 35 communication is targeted at current and former employees first.</w:t>
            </w:r>
          </w:p>
        </w:tc>
      </w:tr>
    </w:tbl>
    <w:p/>
    <w:p>
      <w:r>
        <w:rPr>
          <w:b/>
          <w:color w:val="0054A6"/>
          <w:sz w:val="22"/>
        </w:rPr>
        <w:t>Engine computation:</w:t>
      </w:r>
    </w:p>
    <w:p>
      <w:r>
        <w:rPr>
          <w:i/>
          <w:sz w:val="20"/>
        </w:rPr>
        <w:t>L = MAX(L1, L2, L3) = MAX(4, 4, 3) = 4.</w:t>
        <w:br/>
        <w:t>I1_eff = MAX(I1, 3) = MAX(3, 3) = 3 (data combination uplift).</w:t>
        <w:br/>
        <w:t>I_base = MAX(I1_eff, I2) = MAX(3, 3) = 3.</w:t>
        <w:br/>
        <w:t>I = MIN(4, I_base + I0_mod) = MIN(4, 3 + 1) = 4.</w:t>
        <w:br/>
        <w:t>Matrix L=4, I=4 → HIGH RISK.</w:t>
        <w:br/>
        <w:t>Override pipeline: no encryption claim, no null-impact, no trusted-recipient. Final band: HIGH RISK → Art. 34 + Art. 35 both required.</w:t>
      </w:r>
    </w:p>
    <w:p/>
    <w:p>
      <w:r>
        <w:br w:type="page"/>
      </w:r>
    </w:p>
    <w:p>
      <w:r>
        <w:rPr>
          <w:b/>
          <w:color w:val="0054A6"/>
          <w:sz w:val="30"/>
        </w:rPr>
        <w:t>Discussion blocks — reference answers</w:t>
      </w:r>
    </w:p>
    <w:p>
      <w:r>
        <w:rPr>
          <w:i/>
          <w:color w:val="6B6B6B"/>
          <w:sz w:val="20"/>
        </w:rPr>
        <w:t>Use these reference answers to seed the plenary discussion. They are the model the EDPS analysis would arrive at — trainees may reach different conclusions, and that is fine, provided their rationale is defensible.</w:t>
      </w:r>
    </w:p>
    <w:p>
      <w:r>
        <w:rPr>
          <w:b/>
          <w:color w:val="0054A6"/>
          <w:sz w:val="24"/>
        </w:rPr>
        <w:t>Block 1 — Risk owners and information security risks</w:t>
      </w:r>
    </w:p>
    <w:p>
      <w:r>
        <w:rPr>
          <w:b/>
          <w:color w:val="0054A6"/>
          <w:sz w:val="21"/>
        </w:rPr>
        <w:t xml:space="preserve">Q1.  </w:t>
      </w:r>
      <w:r>
        <w:rPr>
          <w:sz w:val="21"/>
        </w:rPr>
        <w:t>Establish the risk owners.</w:t>
      </w:r>
    </w:p>
    <w:p>
      <w:pPr>
        <w:ind w:left="340"/>
      </w:pPr>
      <w:r>
        <w:rPr>
          <w:b/>
          <w:i/>
          <w:color w:val="1D7A3F"/>
          <w:sz w:val="20"/>
        </w:rPr>
        <w:t xml:space="preserve">Reference answer.  </w:t>
      </w:r>
      <w:r>
        <w:rPr>
          <w:sz w:val="20"/>
        </w:rPr>
        <w:t>Controller: the Head of DG AWE (the EUI is the data controller). Operational risk owner inside the institution: the HR Director (process owner) supported by the LISO and the LCO. Information security risk owner: the IT Security Officer. The DPO is NOT the risk owner — their role is to advise and supervise.</w:t>
      </w:r>
    </w:p>
    <w:p/>
    <w:p>
      <w:r>
        <w:rPr>
          <w:b/>
          <w:color w:val="0054A6"/>
          <w:sz w:val="21"/>
        </w:rPr>
        <w:t xml:space="preserve">Q2.  </w:t>
      </w:r>
      <w:r>
        <w:rPr>
          <w:sz w:val="21"/>
        </w:rPr>
        <w:t>What information security risks are involved?</w:t>
      </w:r>
    </w:p>
    <w:p>
      <w:pPr>
        <w:ind w:left="340"/>
      </w:pPr>
      <w:r>
        <w:rPr>
          <w:b/>
          <w:i/>
          <w:color w:val="1D7A3F"/>
          <w:sz w:val="20"/>
        </w:rPr>
        <w:t xml:space="preserve">Reference answer.  </w:t>
      </w:r>
      <w:r>
        <w:rPr>
          <w:sz w:val="20"/>
        </w:rPr>
        <w:t>Phishing susceptibility (MFA disabled was the root enabler). Credential theft. Lateral movement (cross-mailbox pivot). Data exfiltration (DLP bypassed via encryption). Insider risk amplification (the recruiter's mailbox had broad read access to HR data). Storage limitation violation (retained former-employee data over the 7-year limit — surfaced in the inject).</w:t>
      </w:r>
    </w:p>
    <w:p/>
    <w:p>
      <w:r>
        <w:rPr>
          <w:b/>
          <w:color w:val="0054A6"/>
          <w:sz w:val="21"/>
        </w:rPr>
        <w:t xml:space="preserve">Q3.  </w:t>
      </w:r>
      <w:r>
        <w:rPr>
          <w:sz w:val="21"/>
        </w:rPr>
        <w:t>What controls counter the identified risks?</w:t>
      </w:r>
    </w:p>
    <w:p>
      <w:pPr>
        <w:ind w:left="340"/>
      </w:pPr>
      <w:r>
        <w:rPr>
          <w:b/>
          <w:i/>
          <w:color w:val="1D7A3F"/>
          <w:sz w:val="20"/>
        </w:rPr>
        <w:t xml:space="preserve">Reference answer.  </w:t>
      </w:r>
      <w:r>
        <w:rPr>
          <w:sz w:val="20"/>
        </w:rPr>
        <w:t>Enforce MFA on all accounts (the primary missing control). Conditional access policies tied to managed devices. Phishing-resistant authentication (FIDO2 / passkeys). DLP that inspects encrypted payloads where possible. Just-in-time access on shared mailboxes (the recruiter should not have permanent broad read). Retention enforcement automation aligned to the RoPA. UEBA / anomaly detection (which actually fired here at 5h — the saving grace).</w:t>
      </w:r>
    </w:p>
    <w:p/>
    <w:p>
      <w:r>
        <w:rPr>
          <w:b/>
          <w:color w:val="0054A6"/>
          <w:sz w:val="21"/>
        </w:rPr>
        <w:t xml:space="preserve">Q4.  </w:t>
      </w:r>
      <w:r>
        <w:rPr>
          <w:sz w:val="21"/>
        </w:rPr>
        <w:t>What would an information security risk treatment plan include?</w:t>
      </w:r>
    </w:p>
    <w:p>
      <w:pPr>
        <w:ind w:left="340"/>
      </w:pPr>
      <w:r>
        <w:rPr>
          <w:b/>
          <w:i/>
          <w:color w:val="1D7A3F"/>
          <w:sz w:val="20"/>
        </w:rPr>
        <w:t xml:space="preserve">Reference answer.  </w:t>
      </w:r>
      <w:r>
        <w:rPr>
          <w:sz w:val="20"/>
        </w:rPr>
        <w:t>Immediate: enable MFA, force password rotations, revoke active sessions, contain the affected mailboxes (already done in the timeline). Short-term: phishing-resistant MFA rollout, mailbox access review, DLP tuning. Medium-term: zero-trust architecture for HR data, automated retention enforcement, phishing-training cadence. Each item gets an owner, a deadline, and a verification step.</w:t>
      </w:r>
    </w:p>
    <w:p/>
    <w:p>
      <w:r>
        <w:rPr>
          <w:b/>
          <w:color w:val="0054A6"/>
          <w:sz w:val="24"/>
        </w:rPr>
        <w:t>Block 2 — Roles and communication</w:t>
      </w:r>
    </w:p>
    <w:p>
      <w:r>
        <w:rPr>
          <w:b/>
          <w:color w:val="0054A6"/>
          <w:sz w:val="21"/>
        </w:rPr>
        <w:t xml:space="preserve">Q1.  </w:t>
      </w:r>
      <w:r>
        <w:rPr>
          <w:sz w:val="21"/>
        </w:rPr>
        <w:t>Identify the responsible actors. Role of the DPO, LCO, IT, senior management?</w:t>
      </w:r>
    </w:p>
    <w:p>
      <w:pPr>
        <w:ind w:left="340"/>
      </w:pPr>
      <w:r>
        <w:rPr>
          <w:b/>
          <w:i/>
          <w:color w:val="1D7A3F"/>
          <w:sz w:val="20"/>
        </w:rPr>
        <w:t xml:space="preserve">Reference answer.  </w:t>
      </w:r>
      <w:r>
        <w:rPr>
          <w:sz w:val="20"/>
        </w:rPr>
        <w:t>DPO: leads the breach assessment, drafts the Art. 34 notification, advises the controller on Art. 35 communication, liaises with the EDPS. LCO: coordinates local response, briefs the Head of Unit, tracks the actions. IT department: technical containment, forensic analysis, prevention controls. Senior management (Director General): controller's representative — takes the final notification decision, signs the submission, owns the institutional response.</w:t>
      </w:r>
    </w:p>
    <w:p/>
    <w:p>
      <w:r>
        <w:rPr>
          <w:b/>
          <w:color w:val="0054A6"/>
          <w:sz w:val="21"/>
        </w:rPr>
        <w:t xml:space="preserve">Q2.  </w:t>
      </w:r>
      <w:r>
        <w:rPr>
          <w:sz w:val="21"/>
        </w:rPr>
        <w:t>Outline the internal communication plan.</w:t>
      </w:r>
    </w:p>
    <w:p>
      <w:pPr>
        <w:ind w:left="340"/>
      </w:pPr>
      <w:r>
        <w:rPr>
          <w:b/>
          <w:i/>
          <w:color w:val="1D7A3F"/>
          <w:sz w:val="20"/>
        </w:rPr>
        <w:t xml:space="preserve">Reference answer.  </w:t>
      </w:r>
      <w:r>
        <w:rPr>
          <w:sz w:val="20"/>
        </w:rPr>
        <w:t>T+0: Incident discoverer → IT Security. T+1h: IT → DPO + LCO. T+4h: DPO confirms personal-data dimension — Art. 34 clock starts. T+24h: senior management briefed; first cohort assessment complete; draft Art. 34 ready. T+48h: legal review. T+72h: Art. 34 submitted. Daily standups for the first week; weekly thereafter until closure. All-staff briefing once the Art. 35 communication is drafted (preview before publication).</w:t>
      </w:r>
    </w:p>
    <w:p/>
    <w:p>
      <w:r>
        <w:rPr>
          <w:b/>
          <w:color w:val="0054A6"/>
          <w:sz w:val="21"/>
        </w:rPr>
        <w:t xml:space="preserve">Q3.  </w:t>
      </w:r>
      <w:r>
        <w:rPr>
          <w:sz w:val="21"/>
        </w:rPr>
        <w:t>Outline the external communication plan.</w:t>
      </w:r>
    </w:p>
    <w:p>
      <w:pPr>
        <w:ind w:left="340"/>
      </w:pPr>
      <w:r>
        <w:rPr>
          <w:b/>
          <w:i/>
          <w:color w:val="1D7A3F"/>
          <w:sz w:val="20"/>
        </w:rPr>
        <w:t xml:space="preserve">Reference answer.  </w:t>
      </w:r>
      <w:r>
        <w:rPr>
          <w:sz w:val="20"/>
        </w:rPr>
        <w:t>EDPS: Art. 34 within 72h. Data subjects: Art. 35 "without undue delay" — typically within a few days of the EDPS notification. Press: the institutional spokesperson handles inbound press queries with a vetted statement; the DPO does NOT speak to press directly. CSIRT-CERT-EU: notified per Regulation 2023/2841 for the cybersecurity incident dimension. Police: notified once the criminal-investigation dimension is clear. The Art. 35 letter is drafted by the DPO, vetted by legal, signed by the Director General, and sent via the staff's known channels (institutional email + intranet announcement).</w:t>
      </w:r>
    </w:p>
    <w:p/>
    <w:p>
      <w:r>
        <w:rPr>
          <w:b/>
          <w:color w:val="0054A6"/>
          <w:sz w:val="24"/>
        </w:rPr>
        <w:t>Block 3 — Risk to data subjects and notification</w:t>
      </w:r>
    </w:p>
    <w:p>
      <w:r>
        <w:rPr>
          <w:b/>
          <w:color w:val="0054A6"/>
          <w:sz w:val="21"/>
        </w:rPr>
        <w:t xml:space="preserve">Q1.  </w:t>
      </w:r>
      <w:r>
        <w:rPr>
          <w:sz w:val="21"/>
        </w:rPr>
        <w:t>Assess the risk to each of the three groups (current employees, candidates, former employees).</w:t>
      </w:r>
    </w:p>
    <w:p>
      <w:pPr>
        <w:ind w:left="340"/>
      </w:pPr>
      <w:r>
        <w:rPr>
          <w:b/>
          <w:i/>
          <w:color w:val="1D7A3F"/>
          <w:sz w:val="20"/>
        </w:rPr>
        <w:t xml:space="preserve">Reference answer.  </w:t>
      </w:r>
      <w:r>
        <w:rPr>
          <w:sz w:val="20"/>
        </w:rPr>
        <w:t>Current employees: HIGH RISK — identity-theft kit (name + national ID + bank account + payroll). Candidates: RISK — contact data exposed (name, email, phone) but no financial identifiers; risk of targeted phishing campaigns. Former employees: HIGH RISK — same data composition as current employees but harder to reach for Art. 35 — publish on the institutional website + targeted email blast to last-known addresses.</w:t>
      </w:r>
    </w:p>
    <w:p/>
    <w:p>
      <w:r>
        <w:rPr>
          <w:b/>
          <w:color w:val="0054A6"/>
          <w:sz w:val="21"/>
        </w:rPr>
        <w:t xml:space="preserve">Q2.  </w:t>
      </w:r>
      <w:r>
        <w:rPr>
          <w:sz w:val="21"/>
        </w:rPr>
        <w:t>Categorise the risk under the three-tier framework. Justify.</w:t>
      </w:r>
    </w:p>
    <w:p>
      <w:pPr>
        <w:ind w:left="340"/>
      </w:pPr>
      <w:r>
        <w:rPr>
          <w:b/>
          <w:i/>
          <w:color w:val="1D7A3F"/>
          <w:sz w:val="20"/>
        </w:rPr>
        <w:t xml:space="preserve">Reference answer.  </w:t>
      </w:r>
      <w:r>
        <w:rPr>
          <w:sz w:val="20"/>
        </w:rPr>
        <w:t>Overall HIGH RISK (the worst of the three categories drives the obligation). Factors: L=4 (direct identifiers + confirmed exfiltration + targeted attack); I=4 (high-sensitivity data combination + significant consequences + slightly elevated vulnerability); the identity-theft kit is a §113-class harm. The matrix lands at HIGH RISK directly — no overrides needed to escalate.</w:t>
      </w:r>
    </w:p>
    <w:p/>
    <w:p>
      <w:r>
        <w:rPr>
          <w:b/>
          <w:color w:val="0054A6"/>
          <w:sz w:val="21"/>
        </w:rPr>
        <w:t xml:space="preserve">Q3.  </w:t>
      </w:r>
      <w:r>
        <w:rPr>
          <w:sz w:val="21"/>
        </w:rPr>
        <w:t>Threshold for notification: DPO, EDPS, data subjects?</w:t>
      </w:r>
    </w:p>
    <w:p>
      <w:pPr>
        <w:ind w:left="340"/>
      </w:pPr>
      <w:r>
        <w:rPr>
          <w:b/>
          <w:i/>
          <w:color w:val="1D7A3F"/>
          <w:sz w:val="20"/>
        </w:rPr>
        <w:t xml:space="preserve">Reference answer.  </w:t>
      </w:r>
      <w:r>
        <w:rPr>
          <w:sz w:val="20"/>
        </w:rPr>
        <w:t>DPO: notified at T+1h — below the formal threshold; immediate internal escalation. EDPS: YES, Art. 34(1) within 72h — risk to data subjects is meaningful. Data subjects: YES, Art. 35(1) without undue delay — high risk. None of the Art. 35(3) exemptions apply: data was not rendered unintelligible (no encryption claim on the breached side); no subsequent measure renders the risk no longer likely; disproportionate-effort exemption does not apply for 15,000 known data subjects.</w:t>
      </w:r>
    </w:p>
    <w:p/>
    <w:p>
      <w:r>
        <w:rPr>
          <w:b/>
          <w:color w:val="0054A6"/>
          <w:sz w:val="21"/>
        </w:rPr>
        <w:t xml:space="preserve">Q4.  </w:t>
      </w:r>
      <w:r>
        <w:rPr>
          <w:sz w:val="21"/>
        </w:rPr>
        <w:t>Evidence needed to justify the decisions.</w:t>
      </w:r>
    </w:p>
    <w:p>
      <w:pPr>
        <w:ind w:left="340"/>
      </w:pPr>
      <w:r>
        <w:rPr>
          <w:b/>
          <w:i/>
          <w:color w:val="1D7A3F"/>
          <w:sz w:val="20"/>
        </w:rPr>
        <w:t xml:space="preserve">Reference answer.  </w:t>
      </w:r>
      <w:r>
        <w:rPr>
          <w:sz w:val="20"/>
        </w:rPr>
        <w:t>Forensic report (mailbox access logs, exfiltration confirmation, attacker IP). DPA / RoPA references (CloudVault contract, processing-activity record). DLP detection / non-detection logs. UEBA alert timeline. Internal incident ticket. Containment evidence (account disabled, mailbox blocks). For Art. 35: data-subject contact lists (current and last-known addresses for former employees), Art. 35 letter draft and approval trail, channels used for communication.</w:t>
      </w:r>
    </w:p>
    <w:p/>
    <w:p>
      <w:r>
        <w:rPr>
          <w:b/>
          <w:color w:val="0054A6"/>
          <w:sz w:val="24"/>
        </w:rPr>
        <w:t>Block 4 — Article 35 communication to data subjects (draft reference)</w:t>
      </w:r>
    </w:p>
    <w:p>
      <w:r>
        <w:rPr>
          <w:b/>
          <w:color w:val="0054A6"/>
          <w:sz w:val="21"/>
        </w:rPr>
        <w:t xml:space="preserve">Q1.  </w:t>
      </w:r>
      <w:r>
        <w:rPr>
          <w:sz w:val="21"/>
        </w:rPr>
        <w:t>Draft the four mandatory elements of the Art. 35 letter to current employees.</w:t>
      </w:r>
    </w:p>
    <w:p>
      <w:pPr>
        <w:ind w:left="340"/>
      </w:pPr>
      <w:r>
        <w:rPr>
          <w:b/>
          <w:i/>
          <w:color w:val="1D7A3F"/>
          <w:sz w:val="20"/>
        </w:rPr>
        <w:t xml:space="preserve">Reference answer.  </w:t>
      </w:r>
      <w:r>
        <w:rPr>
          <w:sz w:val="20"/>
        </w:rPr>
        <w:t>1. NATURE — "On [date], a phishing attack against an HR mailbox in DG AWE led to unauthorised access to personal data of approximately 5,000 current employees. The attacker exfiltrated approximately 50 GB of data, including your name, home address, national ID number, bank account details, payroll information, and employment contracts."</w:t>
        <w:br/>
        <w:br/>
        <w:t>2. CONSEQUENCES — "You may be at increased risk of identity theft, financial fraud (unauthorised bank transactions, fraudulent loan applications in your name), targeted phishing or smishing using personal context, and reputational harm if the data is published."</w:t>
        <w:br/>
        <w:br/>
        <w:t>3. MITIGATION — "We recommend you: (a) check your bank statements daily for the next 90 days; (b) request a credit freeze with the national credit-monitoring agency; (c) reset passwords on any account where you may have reused passphrases; (d) watch for phishing messages that reference workplace details; (e) report any suspicious contact to fraud@ec.europa.eu."</w:t>
        <w:br/>
        <w:br/>
        <w:t>4. CONTACT — "DPO of DG AWE: dpo-awe@ec.europa.eu / +32 2 […]. Available Mon–Fri 9:00–18:00 CET. EDPS notification reference: [number]. We will publish further updates on the institutional intranet at /awe/incident-2026."</w:t>
      </w:r>
    </w:p>
    <w:p/>
    <w:p>
      <w:r>
        <w:br w:type="page"/>
      </w:r>
    </w:p>
    <w:p>
      <w:r>
        <w:rPr>
          <w:b/>
          <w:color w:val="0054A6"/>
          <w:sz w:val="30"/>
        </w:rPr>
        <w:t>Day 2, 09:00 UTC — Inject analysis</w:t>
      </w:r>
    </w:p>
    <w:p>
      <w:r>
        <w:rPr>
          <w:sz w:val="22"/>
        </w:rPr>
        <w:t>Three new facts: (1) the retention of former-employee data over the 7-year limit is a separate breach of the storage-limitation principle; (2) press inquiries have started; (3) data subjects are flooding the DG with access requests.</w:t>
      </w:r>
    </w:p>
    <w:p>
      <w:r>
        <w:rPr>
          <w:b/>
          <w:color w:val="0054A6"/>
          <w:sz w:val="22"/>
        </w:rPr>
        <w:t>How the inject shifts the assessment</w:t>
      </w:r>
    </w:p>
    <w:p>
      <w:r>
        <w:rPr>
          <w:sz w:val="22"/>
        </w:rPr>
        <w:t>(1) The retention violation is a SECOND incident. Best practice: include both in the Art. 34 notification but distinguish them clearly — the EDPS treats them as separate compliance questions and may assess accountability differently. Do NOT bury the retention violation inside the breach narrative.</w:t>
        <w:br/>
        <w:br/>
        <w:t>(2) The press inquiry accelerates the Art. 35 communication — the data subjects should hear from the controller BEFORE they read about it in the press. The press itself is handled by the institutional spokesperson with a vetted statement; the DPO does not engage directly.</w:t>
        <w:br/>
        <w:br/>
        <w:t>(3) The access-request volume is an operational issue, not a risk-assessment issue — but it impacts capacity: the DG needs surge resources to respond within the Art. 17 EUDPR 1-month deadline. Document the operational decisions taken (temporary staff, batch responses, FAQ publication) so they appear in the EDPS notification narrative.</w:t>
      </w:r>
    </w:p>
    <w:p>
      <w:r>
        <w:br w:type="page"/>
      </w:r>
    </w:p>
    <w:p>
      <w:r>
        <w:rPr>
          <w:b/>
          <w:color w:val="0054A6"/>
          <w:sz w:val="30"/>
        </w:rPr>
        <w:t>Pedagogical key points</w:t>
      </w:r>
    </w:p>
    <w:p>
      <w:r>
        <w:rPr>
          <w:i/>
          <w:color w:val="6B6B6B"/>
          <w:sz w:val="20"/>
        </w:rPr>
        <w:t>Surface these moments in the plenary debrief.</w:t>
      </w:r>
    </w:p>
    <w:p>
      <w:pPr>
        <w:pStyle w:val="ListBullet"/>
        <w:ind w:left="340"/>
      </w:pPr>
      <w:r>
        <w:rPr>
          <w:sz w:val="21"/>
        </w:rPr>
        <w:t>This scenario has a clear band (HIGH RISK) but is rich enough to surface the nuances of Art. 34 / Art. 35 in practice.</w:t>
      </w:r>
    </w:p>
    <w:p>
      <w:pPr>
        <w:pStyle w:val="ListBullet"/>
        <w:ind w:left="340"/>
      </w:pPr>
      <w:r>
        <w:rPr>
          <w:sz w:val="21"/>
        </w:rPr>
        <w:t>Use Part B to draw out the difference between the breach itself and the additional accountability questions (retention, MFA). Some teams will conflate them.</w:t>
      </w:r>
    </w:p>
    <w:p>
      <w:pPr>
        <w:pStyle w:val="ListBullet"/>
        <w:ind w:left="340"/>
      </w:pPr>
      <w:r>
        <w:rPr>
          <w:sz w:val="21"/>
        </w:rPr>
        <w:t>The Art. 35 draft (Block 4) is the Level 2 measurement artefact for the workshop. Score it against the rubric: are the four elements all present? Is the language non-technical? Does it tell the data subject what to DO?</w:t>
      </w:r>
    </w:p>
    <w:p>
      <w:pPr>
        <w:pStyle w:val="ListBullet"/>
        <w:ind w:left="340"/>
      </w:pPr>
      <w:r>
        <w:rPr>
          <w:sz w:val="21"/>
        </w:rPr>
        <w:t>Surface the difference in obligation between current employees and candidates: same incident, different bands, different Art. 35 reach.</w:t>
      </w:r>
    </w:p>
    <w:p>
      <w:pPr>
        <w:pStyle w:val="ListBullet"/>
        <w:ind w:left="340"/>
      </w:pPr>
      <w:r>
        <w:rPr>
          <w:sz w:val="21"/>
        </w:rPr>
        <w:t>The MFA disablement is a Finding-1 case: the institution under-evaluated the risk of credential theft because of 'security fatigue'. Use it as a counter-example to the 'risk-tolerant' framing in the EDPS analysis.</w:t>
      </w:r>
    </w:p>
    <w:p>
      <w:pPr>
        <w:pStyle w:val="ListBullet"/>
        <w:ind w:left="340"/>
      </w:pPr>
      <w:r>
        <w:rPr>
          <w:sz w:val="21"/>
        </w:rPr>
        <w:t>Discuss CERT-EU / Regulation 2023/2841: the cybersecurity dimension of this incident has a parallel notification obligation that runs alongside Art. 34. The two notifications are not the same.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